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03B99" w14:textId="7CAC4AE8" w:rsidR="003D37D1" w:rsidRPr="001653D9" w:rsidRDefault="0020304A" w:rsidP="003D37D1">
      <w:pPr>
        <w:pBdr>
          <w:bottom w:val="single" w:sz="4" w:space="1" w:color="auto"/>
        </w:pBdr>
        <w:spacing w:before="100" w:beforeAutospacing="1" w:after="100" w:afterAutospacing="1" w:line="240" w:lineRule="auto"/>
        <w:rPr>
          <w:rFonts w:ascii="Verdana" w:hAnsi="Verdana"/>
          <w:b/>
          <w:sz w:val="20"/>
          <w:szCs w:val="20"/>
        </w:rPr>
      </w:pPr>
      <w:r w:rsidRPr="001653D9">
        <w:rPr>
          <w:rFonts w:ascii="Verdana" w:hAnsi="Verdana"/>
          <w:b/>
          <w:sz w:val="20"/>
          <w:szCs w:val="20"/>
        </w:rPr>
        <w:t xml:space="preserve">Basın Bülteni      </w:t>
      </w:r>
      <w:r w:rsidR="003D37D1" w:rsidRPr="001653D9">
        <w:rPr>
          <w:rFonts w:ascii="Verdana" w:hAnsi="Verdana"/>
          <w:b/>
          <w:sz w:val="20"/>
          <w:szCs w:val="20"/>
        </w:rPr>
        <w:t xml:space="preserve">             </w:t>
      </w:r>
      <w:r w:rsidRPr="001653D9">
        <w:rPr>
          <w:rFonts w:ascii="Verdana" w:hAnsi="Verdana"/>
          <w:b/>
          <w:sz w:val="20"/>
          <w:szCs w:val="20"/>
        </w:rPr>
        <w:t xml:space="preserve">                              </w:t>
      </w:r>
      <w:r w:rsidRPr="001653D9">
        <w:rPr>
          <w:rFonts w:ascii="Verdana" w:hAnsi="Verdana"/>
          <w:b/>
          <w:sz w:val="20"/>
          <w:szCs w:val="20"/>
        </w:rPr>
        <w:tab/>
        <w:t xml:space="preserve">                             </w:t>
      </w:r>
      <w:r w:rsidR="00060A56" w:rsidRPr="001653D9">
        <w:rPr>
          <w:rFonts w:ascii="Verdana" w:hAnsi="Verdana"/>
          <w:b/>
          <w:sz w:val="20"/>
          <w:szCs w:val="20"/>
        </w:rPr>
        <w:t xml:space="preserve">    </w:t>
      </w:r>
      <w:r w:rsidR="001653D9">
        <w:rPr>
          <w:rFonts w:ascii="Verdana" w:hAnsi="Verdana"/>
          <w:b/>
          <w:sz w:val="20"/>
          <w:szCs w:val="20"/>
        </w:rPr>
        <w:t xml:space="preserve">            </w:t>
      </w:r>
      <w:r w:rsidR="005F0F32">
        <w:rPr>
          <w:rFonts w:ascii="Verdana" w:hAnsi="Verdana"/>
          <w:b/>
          <w:sz w:val="20"/>
          <w:szCs w:val="20"/>
        </w:rPr>
        <w:t>2</w:t>
      </w:r>
      <w:r w:rsidR="0029692E">
        <w:rPr>
          <w:rFonts w:ascii="Verdana" w:hAnsi="Verdana"/>
          <w:b/>
          <w:sz w:val="20"/>
          <w:szCs w:val="20"/>
        </w:rPr>
        <w:t>4</w:t>
      </w:r>
      <w:r w:rsidR="001653D9">
        <w:rPr>
          <w:rFonts w:ascii="Verdana" w:hAnsi="Verdana"/>
          <w:b/>
          <w:sz w:val="20"/>
          <w:szCs w:val="20"/>
        </w:rPr>
        <w:t xml:space="preserve"> </w:t>
      </w:r>
      <w:r w:rsidR="00060A56" w:rsidRPr="001653D9">
        <w:rPr>
          <w:rFonts w:ascii="Verdana" w:hAnsi="Verdana"/>
          <w:b/>
          <w:sz w:val="20"/>
          <w:szCs w:val="20"/>
        </w:rPr>
        <w:t>Ekim 2</w:t>
      </w:r>
      <w:r w:rsidR="00731BBE" w:rsidRPr="001653D9">
        <w:rPr>
          <w:rFonts w:ascii="Verdana" w:hAnsi="Verdana"/>
          <w:b/>
          <w:sz w:val="20"/>
          <w:szCs w:val="20"/>
        </w:rPr>
        <w:t>018</w:t>
      </w:r>
    </w:p>
    <w:p w14:paraId="66A3EF26" w14:textId="049BE91C" w:rsidR="00842FCE" w:rsidRPr="00776390" w:rsidRDefault="00842FCE" w:rsidP="00776390">
      <w:pPr>
        <w:jc w:val="center"/>
        <w:rPr>
          <w:rFonts w:ascii="Verdana" w:hAnsi="Verdana"/>
          <w:b/>
          <w:sz w:val="40"/>
          <w:szCs w:val="40"/>
        </w:rPr>
      </w:pPr>
      <w:r w:rsidRPr="00776390">
        <w:rPr>
          <w:rFonts w:ascii="Verdana" w:hAnsi="Verdana"/>
          <w:b/>
          <w:sz w:val="40"/>
          <w:szCs w:val="40"/>
        </w:rPr>
        <w:t xml:space="preserve">Piyalepaşa </w:t>
      </w:r>
      <w:r w:rsidR="00776390" w:rsidRPr="00776390">
        <w:rPr>
          <w:rFonts w:ascii="Verdana" w:hAnsi="Verdana"/>
          <w:b/>
          <w:sz w:val="40"/>
          <w:szCs w:val="40"/>
        </w:rPr>
        <w:t xml:space="preserve">İstanbul’da </w:t>
      </w:r>
      <w:r w:rsidRPr="00776390">
        <w:rPr>
          <w:rFonts w:ascii="Verdana" w:hAnsi="Verdana"/>
          <w:b/>
          <w:sz w:val="40"/>
          <w:szCs w:val="40"/>
        </w:rPr>
        <w:t>Yaşam Başladı</w:t>
      </w:r>
    </w:p>
    <w:p w14:paraId="29C3701A" w14:textId="77777777" w:rsidR="00450280" w:rsidRPr="003D22C5" w:rsidRDefault="005F0F32" w:rsidP="00AF2301">
      <w:pPr>
        <w:jc w:val="center"/>
        <w:rPr>
          <w:rFonts w:ascii="Verdana" w:hAnsi="Verdana"/>
          <w:b/>
          <w:i/>
          <w:sz w:val="19"/>
          <w:szCs w:val="19"/>
        </w:rPr>
      </w:pPr>
      <w:r w:rsidRPr="003D22C5">
        <w:rPr>
          <w:rFonts w:ascii="Verdana" w:hAnsi="Verdana"/>
          <w:b/>
          <w:i/>
          <w:sz w:val="19"/>
          <w:szCs w:val="19"/>
        </w:rPr>
        <w:t>Polat markasının 60 yıllık geçmişi</w:t>
      </w:r>
      <w:r w:rsidR="005B2F60" w:rsidRPr="003D22C5">
        <w:rPr>
          <w:rFonts w:ascii="Verdana" w:hAnsi="Verdana"/>
          <w:b/>
          <w:i/>
          <w:sz w:val="19"/>
          <w:szCs w:val="19"/>
        </w:rPr>
        <w:t xml:space="preserve"> ve deneyimiyle hayata geçirdiği</w:t>
      </w:r>
      <w:r w:rsidRPr="003D22C5">
        <w:rPr>
          <w:rFonts w:ascii="Verdana" w:hAnsi="Verdana"/>
          <w:b/>
          <w:i/>
          <w:sz w:val="19"/>
          <w:szCs w:val="19"/>
        </w:rPr>
        <w:t xml:space="preserve"> Piyalepaşa İstanbul’da yaşam başladı. </w:t>
      </w:r>
      <w:r w:rsidR="00842FCE" w:rsidRPr="003D22C5">
        <w:rPr>
          <w:rFonts w:ascii="Verdana" w:hAnsi="Verdana"/>
          <w:b/>
          <w:i/>
          <w:sz w:val="19"/>
          <w:szCs w:val="19"/>
        </w:rPr>
        <w:t xml:space="preserve">Konut, </w:t>
      </w:r>
      <w:r w:rsidR="00752BB7" w:rsidRPr="003D22C5">
        <w:rPr>
          <w:rFonts w:ascii="Verdana" w:hAnsi="Verdana"/>
          <w:b/>
          <w:i/>
          <w:sz w:val="19"/>
          <w:szCs w:val="19"/>
        </w:rPr>
        <w:t>rezidans, ofis, otel ve Alışveriş Sokağı’ndan oluşan karma</w:t>
      </w:r>
      <w:r w:rsidR="00AF2301" w:rsidRPr="003D22C5">
        <w:rPr>
          <w:rFonts w:ascii="Verdana" w:hAnsi="Verdana"/>
          <w:b/>
          <w:i/>
          <w:sz w:val="19"/>
          <w:szCs w:val="19"/>
        </w:rPr>
        <w:t xml:space="preserve"> konseptiyle </w:t>
      </w:r>
      <w:r w:rsidR="00842FCE" w:rsidRPr="003D22C5">
        <w:rPr>
          <w:rFonts w:ascii="Verdana" w:hAnsi="Verdana"/>
          <w:b/>
          <w:i/>
          <w:sz w:val="19"/>
          <w:szCs w:val="19"/>
        </w:rPr>
        <w:t xml:space="preserve">Piyalepaşa İstanbul, ilk etap </w:t>
      </w:r>
      <w:r w:rsidR="00752BB7" w:rsidRPr="003D22C5">
        <w:rPr>
          <w:rFonts w:ascii="Verdana" w:hAnsi="Verdana"/>
          <w:b/>
          <w:i/>
          <w:sz w:val="19"/>
          <w:szCs w:val="19"/>
        </w:rPr>
        <w:t>teslimleriyle birlikte</w:t>
      </w:r>
      <w:r w:rsidR="00842FCE" w:rsidRPr="003D22C5">
        <w:rPr>
          <w:rFonts w:ascii="Verdana" w:hAnsi="Verdana"/>
          <w:b/>
          <w:i/>
          <w:sz w:val="19"/>
          <w:szCs w:val="19"/>
        </w:rPr>
        <w:t xml:space="preserve"> ilk sakinlerini</w:t>
      </w:r>
      <w:r w:rsidR="00416150" w:rsidRPr="003D22C5">
        <w:rPr>
          <w:rFonts w:ascii="Verdana" w:hAnsi="Verdana"/>
          <w:b/>
          <w:i/>
          <w:sz w:val="19"/>
          <w:szCs w:val="19"/>
        </w:rPr>
        <w:t xml:space="preserve"> ağırlıyor.</w:t>
      </w:r>
      <w:r w:rsidR="001D5E64" w:rsidRPr="003D22C5">
        <w:rPr>
          <w:rFonts w:ascii="Verdana" w:hAnsi="Verdana"/>
          <w:b/>
          <w:i/>
          <w:sz w:val="19"/>
          <w:szCs w:val="19"/>
        </w:rPr>
        <w:t xml:space="preserve"> </w:t>
      </w:r>
    </w:p>
    <w:p w14:paraId="2574B5FD" w14:textId="2664C58E" w:rsidR="00A0588D" w:rsidRPr="003D22C5" w:rsidRDefault="001D5E64" w:rsidP="00AF2301">
      <w:pPr>
        <w:jc w:val="center"/>
        <w:rPr>
          <w:rFonts w:ascii="Verdana" w:hAnsi="Verdana"/>
          <w:b/>
          <w:i/>
          <w:sz w:val="19"/>
          <w:szCs w:val="19"/>
        </w:rPr>
      </w:pPr>
      <w:r w:rsidRPr="003D22C5">
        <w:rPr>
          <w:rFonts w:ascii="Verdana" w:hAnsi="Verdana"/>
          <w:b/>
          <w:i/>
          <w:sz w:val="19"/>
          <w:szCs w:val="19"/>
        </w:rPr>
        <w:t xml:space="preserve">Beyoğlu’nun merkezinde 4 milyar TL’lik yatırımla </w:t>
      </w:r>
      <w:r w:rsidR="006C6E2A" w:rsidRPr="003D22C5">
        <w:rPr>
          <w:rFonts w:ascii="Verdana" w:hAnsi="Verdana"/>
          <w:b/>
          <w:i/>
          <w:sz w:val="19"/>
          <w:szCs w:val="19"/>
        </w:rPr>
        <w:t>yükselen Piyalepaşa İstanbul</w:t>
      </w:r>
      <w:r w:rsidR="00D26613" w:rsidRPr="003D22C5">
        <w:rPr>
          <w:rFonts w:ascii="Verdana" w:hAnsi="Verdana"/>
          <w:b/>
          <w:i/>
          <w:sz w:val="19"/>
          <w:szCs w:val="19"/>
        </w:rPr>
        <w:t>,</w:t>
      </w:r>
      <w:r w:rsidR="006C6E2A" w:rsidRPr="003D22C5">
        <w:rPr>
          <w:rFonts w:ascii="Verdana" w:hAnsi="Verdana"/>
          <w:b/>
          <w:i/>
          <w:sz w:val="19"/>
          <w:szCs w:val="19"/>
        </w:rPr>
        <w:t xml:space="preserve"> satışa çıktığı günden itibaren yüzde 60 değer kazanırken, </w:t>
      </w:r>
      <w:r w:rsidRPr="003D22C5">
        <w:rPr>
          <w:rFonts w:ascii="Verdana" w:hAnsi="Verdana"/>
          <w:b/>
          <w:i/>
          <w:sz w:val="19"/>
          <w:szCs w:val="19"/>
        </w:rPr>
        <w:t>konutların</w:t>
      </w:r>
      <w:r w:rsidR="007B1BFC">
        <w:rPr>
          <w:rFonts w:ascii="Verdana" w:hAnsi="Verdana"/>
          <w:b/>
          <w:i/>
          <w:sz w:val="19"/>
          <w:szCs w:val="19"/>
        </w:rPr>
        <w:t>ın yüzde 60’ı</w:t>
      </w:r>
      <w:r w:rsidR="006C6E2A" w:rsidRPr="003D22C5">
        <w:rPr>
          <w:rFonts w:ascii="Verdana" w:hAnsi="Verdana"/>
          <w:b/>
          <w:i/>
          <w:sz w:val="19"/>
          <w:szCs w:val="19"/>
        </w:rPr>
        <w:t xml:space="preserve"> satıldı, i</w:t>
      </w:r>
      <w:r w:rsidRPr="003D22C5">
        <w:rPr>
          <w:rFonts w:ascii="Verdana" w:hAnsi="Verdana"/>
          <w:b/>
          <w:i/>
          <w:sz w:val="19"/>
          <w:szCs w:val="19"/>
        </w:rPr>
        <w:t xml:space="preserve">nşaatın ise yüzde 50’si tamamlandı. </w:t>
      </w:r>
      <w:r w:rsidR="008D5465" w:rsidRPr="003D22C5">
        <w:rPr>
          <w:rFonts w:ascii="Verdana" w:hAnsi="Verdana"/>
          <w:b/>
          <w:i/>
          <w:sz w:val="19"/>
          <w:szCs w:val="19"/>
        </w:rPr>
        <w:t xml:space="preserve">Projenin tamamının 2020 yılında tamamlanması hedefleniyor. </w:t>
      </w:r>
    </w:p>
    <w:p w14:paraId="1AB0EAB9" w14:textId="77777777" w:rsidR="00A0588D" w:rsidRPr="003D22C5" w:rsidRDefault="00A0588D" w:rsidP="00A0588D">
      <w:pPr>
        <w:pStyle w:val="NoSpacing"/>
        <w:jc w:val="center"/>
        <w:rPr>
          <w:rFonts w:cs="Calibri"/>
          <w:b/>
          <w:sz w:val="12"/>
        </w:rPr>
      </w:pPr>
    </w:p>
    <w:p w14:paraId="5794E0AB" w14:textId="77777777" w:rsidR="00D704EE" w:rsidRPr="003D22C5" w:rsidRDefault="00D704EE" w:rsidP="00A0588D">
      <w:pPr>
        <w:pStyle w:val="NoSpacing"/>
        <w:jc w:val="both"/>
        <w:rPr>
          <w:rFonts w:ascii="Verdana" w:hAnsi="Verdana" w:cs="Calibri"/>
          <w:sz w:val="2"/>
          <w:szCs w:val="19"/>
        </w:rPr>
      </w:pPr>
    </w:p>
    <w:p w14:paraId="769F0311" w14:textId="15B2A8D2" w:rsidR="00D351DA" w:rsidRPr="003D22C5" w:rsidRDefault="00D351DA" w:rsidP="003D22C5">
      <w:pPr>
        <w:pStyle w:val="NoSpacing"/>
        <w:jc w:val="both"/>
        <w:rPr>
          <w:rFonts w:ascii="Verdana" w:hAnsi="Verdana" w:cs="Calibri"/>
          <w:sz w:val="19"/>
          <w:szCs w:val="19"/>
        </w:rPr>
      </w:pPr>
      <w:r w:rsidRPr="003D22C5">
        <w:rPr>
          <w:rFonts w:ascii="Verdana" w:hAnsi="Verdana" w:cs="Calibri"/>
          <w:sz w:val="19"/>
          <w:szCs w:val="19"/>
        </w:rPr>
        <w:t xml:space="preserve">Türkiye’nin özel sektör tarafından hayata geçirilen en büyük kentsel </w:t>
      </w:r>
      <w:r w:rsidR="004C6365" w:rsidRPr="003D22C5">
        <w:rPr>
          <w:rFonts w:ascii="Verdana" w:hAnsi="Verdana" w:cs="Calibri"/>
          <w:sz w:val="19"/>
          <w:szCs w:val="19"/>
        </w:rPr>
        <w:t>dönüşüm projesi Piyalepaşa İsta</w:t>
      </w:r>
      <w:r w:rsidR="000A154B" w:rsidRPr="003D22C5">
        <w:rPr>
          <w:rFonts w:ascii="Verdana" w:hAnsi="Verdana" w:cs="Calibri"/>
          <w:sz w:val="19"/>
          <w:szCs w:val="19"/>
        </w:rPr>
        <w:t>nbul</w:t>
      </w:r>
      <w:r w:rsidR="00B665CC" w:rsidRPr="003D22C5">
        <w:rPr>
          <w:rFonts w:ascii="Verdana" w:hAnsi="Verdana" w:cs="Calibri"/>
          <w:sz w:val="19"/>
          <w:szCs w:val="19"/>
        </w:rPr>
        <w:t xml:space="preserve">’da </w:t>
      </w:r>
      <w:r w:rsidR="00D704EE" w:rsidRPr="003D22C5">
        <w:rPr>
          <w:rFonts w:ascii="Verdana" w:hAnsi="Verdana" w:cs="Calibri"/>
          <w:sz w:val="19"/>
          <w:szCs w:val="19"/>
        </w:rPr>
        <w:t>yaşam başladı.</w:t>
      </w:r>
      <w:r w:rsidR="00D0622F" w:rsidRPr="003D22C5">
        <w:rPr>
          <w:rFonts w:ascii="Verdana" w:hAnsi="Verdana" w:cs="Calibri"/>
          <w:sz w:val="19"/>
          <w:szCs w:val="19"/>
        </w:rPr>
        <w:t xml:space="preserve"> </w:t>
      </w:r>
      <w:r w:rsidR="00D704EE" w:rsidRPr="003D22C5">
        <w:rPr>
          <w:rFonts w:ascii="Verdana" w:hAnsi="Verdana" w:cs="Calibri"/>
          <w:sz w:val="19"/>
          <w:szCs w:val="19"/>
        </w:rPr>
        <w:t>Beyoğlu’</w:t>
      </w:r>
      <w:r w:rsidR="00875344" w:rsidRPr="003D22C5">
        <w:rPr>
          <w:rFonts w:ascii="Verdana" w:hAnsi="Verdana" w:cs="Calibri"/>
          <w:sz w:val="19"/>
          <w:szCs w:val="19"/>
        </w:rPr>
        <w:t xml:space="preserve">nun yaşayan </w:t>
      </w:r>
      <w:r w:rsidR="008D5465" w:rsidRPr="003D22C5">
        <w:rPr>
          <w:rFonts w:ascii="Verdana" w:hAnsi="Verdana" w:cs="Calibri"/>
          <w:sz w:val="19"/>
          <w:szCs w:val="19"/>
        </w:rPr>
        <w:t xml:space="preserve">yatırımı Piyalepaşa İstanbul’da ilk etap teslimlerle birlikte yaklaşık 220 dairede yaşam başlarken, yıl sonuna kadar </w:t>
      </w:r>
      <w:r w:rsidR="003D652B">
        <w:rPr>
          <w:rFonts w:ascii="Verdana" w:hAnsi="Verdana" w:cs="Calibri"/>
          <w:sz w:val="19"/>
          <w:szCs w:val="19"/>
        </w:rPr>
        <w:t>300</w:t>
      </w:r>
      <w:r w:rsidR="008D5465" w:rsidRPr="003D22C5">
        <w:rPr>
          <w:rFonts w:ascii="Verdana" w:hAnsi="Verdana" w:cs="Calibri"/>
          <w:sz w:val="19"/>
          <w:szCs w:val="19"/>
        </w:rPr>
        <w:t xml:space="preserve"> adet dairenin daha teslimi gerçekleştirilecek. </w:t>
      </w:r>
      <w:r w:rsidR="008D5465" w:rsidRPr="003D22C5">
        <w:rPr>
          <w:rFonts w:ascii="Verdana" w:hAnsi="Verdana"/>
          <w:sz w:val="19"/>
          <w:szCs w:val="19"/>
        </w:rPr>
        <w:t xml:space="preserve"> </w:t>
      </w:r>
      <w:r w:rsidRPr="003D22C5">
        <w:rPr>
          <w:rFonts w:ascii="Verdana" w:hAnsi="Verdana"/>
          <w:sz w:val="19"/>
          <w:szCs w:val="19"/>
        </w:rPr>
        <w:t xml:space="preserve"> </w:t>
      </w:r>
    </w:p>
    <w:p w14:paraId="692CCC1A" w14:textId="77777777" w:rsidR="00D351DA" w:rsidRPr="003D22C5" w:rsidRDefault="00D351DA" w:rsidP="003D22C5">
      <w:pPr>
        <w:pStyle w:val="NoSpacing"/>
        <w:jc w:val="both"/>
        <w:rPr>
          <w:rFonts w:cs="Calibri"/>
          <w:sz w:val="19"/>
          <w:szCs w:val="19"/>
        </w:rPr>
      </w:pPr>
    </w:p>
    <w:p w14:paraId="0049945C" w14:textId="05BADB42" w:rsidR="00880422" w:rsidRPr="003D22C5" w:rsidRDefault="00043D25" w:rsidP="003D22C5">
      <w:pPr>
        <w:pStyle w:val="NoSpacing"/>
        <w:jc w:val="both"/>
        <w:rPr>
          <w:rFonts w:ascii="Verdana" w:hAnsi="Verdana"/>
          <w:sz w:val="19"/>
          <w:szCs w:val="19"/>
        </w:rPr>
      </w:pPr>
      <w:r w:rsidRPr="003D22C5">
        <w:rPr>
          <w:rFonts w:ascii="Verdana" w:hAnsi="Verdana" w:cs="Calibri"/>
          <w:sz w:val="19"/>
          <w:szCs w:val="19"/>
        </w:rPr>
        <w:t>Konutu, rezidans bloğu, oteli, ofisi ve Alışveriş Sokağı</w:t>
      </w:r>
      <w:r w:rsidR="00FF7924" w:rsidRPr="003D22C5">
        <w:rPr>
          <w:rFonts w:ascii="Verdana" w:hAnsi="Verdana" w:cs="Calibri"/>
          <w:sz w:val="19"/>
          <w:szCs w:val="19"/>
        </w:rPr>
        <w:t>’yla İstanbul’un kalbi Beyoğlu’nd</w:t>
      </w:r>
      <w:r w:rsidR="008D0ACA" w:rsidRPr="003D22C5">
        <w:rPr>
          <w:rFonts w:ascii="Verdana" w:hAnsi="Verdana" w:cs="Calibri"/>
          <w:sz w:val="19"/>
          <w:szCs w:val="19"/>
        </w:rPr>
        <w:t>a yükselen Piyalepaşa İstanbul’</w:t>
      </w:r>
      <w:r w:rsidR="00283A94" w:rsidRPr="003D22C5">
        <w:rPr>
          <w:rFonts w:ascii="Verdana" w:hAnsi="Verdana" w:cs="Calibri"/>
          <w:sz w:val="19"/>
          <w:szCs w:val="19"/>
        </w:rPr>
        <w:t>da ko</w:t>
      </w:r>
      <w:r w:rsidR="006A3973" w:rsidRPr="003D22C5">
        <w:rPr>
          <w:rFonts w:ascii="Verdana" w:hAnsi="Verdana" w:cs="Calibri"/>
          <w:sz w:val="19"/>
          <w:szCs w:val="19"/>
        </w:rPr>
        <w:t>nutların ve</w:t>
      </w:r>
      <w:r w:rsidR="00283A94" w:rsidRPr="003D22C5">
        <w:rPr>
          <w:rFonts w:ascii="Verdana" w:hAnsi="Verdana" w:cs="Calibri"/>
          <w:sz w:val="19"/>
          <w:szCs w:val="19"/>
        </w:rPr>
        <w:t xml:space="preserve"> rezidansların satışı</w:t>
      </w:r>
      <w:r w:rsidR="006A3973" w:rsidRPr="003D22C5">
        <w:rPr>
          <w:rFonts w:ascii="Verdana" w:hAnsi="Verdana" w:cs="Calibri"/>
          <w:sz w:val="19"/>
          <w:szCs w:val="19"/>
        </w:rPr>
        <w:t xml:space="preserve">, </w:t>
      </w:r>
      <w:r w:rsidR="008D0ACA" w:rsidRPr="003D22C5">
        <w:rPr>
          <w:rFonts w:ascii="Verdana" w:hAnsi="Verdana" w:cs="Calibri"/>
          <w:sz w:val="19"/>
          <w:szCs w:val="19"/>
        </w:rPr>
        <w:t>mağazaların</w:t>
      </w:r>
      <w:r w:rsidR="006A3973" w:rsidRPr="003D22C5">
        <w:rPr>
          <w:rFonts w:ascii="Verdana" w:hAnsi="Verdana" w:cs="Calibri"/>
          <w:sz w:val="19"/>
          <w:szCs w:val="19"/>
        </w:rPr>
        <w:t xml:space="preserve"> ise</w:t>
      </w:r>
      <w:r w:rsidR="00A964F5" w:rsidRPr="003D22C5">
        <w:rPr>
          <w:rFonts w:ascii="Verdana" w:hAnsi="Verdana" w:cs="Calibri"/>
          <w:sz w:val="19"/>
          <w:szCs w:val="19"/>
        </w:rPr>
        <w:t xml:space="preserve"> kirala</w:t>
      </w:r>
      <w:r w:rsidR="008D0ACA" w:rsidRPr="003D22C5">
        <w:rPr>
          <w:rFonts w:ascii="Verdana" w:hAnsi="Verdana" w:cs="Calibri"/>
          <w:sz w:val="19"/>
          <w:szCs w:val="19"/>
        </w:rPr>
        <w:t xml:space="preserve">ması devam ediyor. </w:t>
      </w:r>
      <w:r w:rsidR="006A3973" w:rsidRPr="003D22C5">
        <w:rPr>
          <w:rFonts w:ascii="Verdana" w:hAnsi="Verdana" w:cs="Calibri"/>
          <w:sz w:val="19"/>
          <w:szCs w:val="19"/>
        </w:rPr>
        <w:t xml:space="preserve">760 konut, 190 rezidansın yer aldığı projede, konutların metrekare satış fiyatı 13 bin 500 TL, rezidansların metrekare satış fiyatı ise 16 bin TL’den başlıyor. </w:t>
      </w:r>
      <w:r w:rsidR="00880422" w:rsidRPr="003D22C5">
        <w:rPr>
          <w:rFonts w:ascii="Verdana" w:hAnsi="Verdana" w:cs="Calibri"/>
          <w:sz w:val="19"/>
          <w:szCs w:val="19"/>
        </w:rPr>
        <w:t xml:space="preserve">Kentsel dönüşüm projesi olması sebebiyle yüzde 1 KDV oranı ile avantaj sunan Piyalepaşa İstanbul’dan ev sahibi olmak isteyenler </w:t>
      </w:r>
      <w:r w:rsidR="00880422" w:rsidRPr="003D22C5">
        <w:rPr>
          <w:rFonts w:ascii="Verdana" w:hAnsi="Verdana"/>
          <w:sz w:val="19"/>
          <w:szCs w:val="19"/>
        </w:rPr>
        <w:t xml:space="preserve">şirket bünyesinde 36 aya kadar sıfır faiz, banka kredisi kullanmak isteyenler ise 60 aya kadar yüzde 0,98 faiz oranı ile ödeme planını şekillendirebiliyor. Ayrıca kişiye özel yüzlerce ödeme imkanı da sunuluyor. </w:t>
      </w:r>
    </w:p>
    <w:p w14:paraId="508318BA" w14:textId="77777777" w:rsidR="00BB7B25" w:rsidRPr="00607392" w:rsidRDefault="00BB7B25" w:rsidP="00BB7B25">
      <w:pPr>
        <w:spacing w:line="240" w:lineRule="auto"/>
        <w:jc w:val="both"/>
        <w:rPr>
          <w:rFonts w:ascii="Verdana" w:hAnsi="Verdana"/>
          <w:sz w:val="21"/>
          <w:szCs w:val="21"/>
        </w:rPr>
      </w:pPr>
    </w:p>
    <w:p w14:paraId="31B66F33" w14:textId="0C09492B" w:rsidR="007D4FCE" w:rsidRPr="003D22C5" w:rsidRDefault="00BB7B25" w:rsidP="00BB7B25">
      <w:pPr>
        <w:spacing w:line="240" w:lineRule="auto"/>
        <w:jc w:val="both"/>
        <w:rPr>
          <w:rFonts w:ascii="Verdana" w:hAnsi="Verdana"/>
          <w:b/>
          <w:i/>
          <w:szCs w:val="19"/>
        </w:rPr>
      </w:pPr>
      <w:r w:rsidRPr="003D22C5">
        <w:rPr>
          <w:rFonts w:ascii="Verdana" w:hAnsi="Verdana"/>
          <w:b/>
          <w:i/>
          <w:szCs w:val="19"/>
        </w:rPr>
        <w:t>Polat “</w:t>
      </w:r>
      <w:r w:rsidR="00D5785C" w:rsidRPr="003D22C5">
        <w:rPr>
          <w:rFonts w:ascii="Verdana" w:hAnsi="Verdana"/>
          <w:b/>
          <w:i/>
          <w:szCs w:val="19"/>
        </w:rPr>
        <w:t>Türkiye’nin geleceğine ve sektörümüze olan inancımız t</w:t>
      </w:r>
      <w:r w:rsidR="00424C06" w:rsidRPr="003D22C5">
        <w:rPr>
          <w:rFonts w:ascii="Verdana" w:hAnsi="Verdana"/>
          <w:b/>
          <w:i/>
          <w:szCs w:val="19"/>
        </w:rPr>
        <w:t>am</w:t>
      </w:r>
      <w:r w:rsidRPr="003D22C5">
        <w:rPr>
          <w:rFonts w:ascii="Verdana" w:hAnsi="Verdana"/>
          <w:b/>
          <w:i/>
          <w:szCs w:val="19"/>
        </w:rPr>
        <w:t>”</w:t>
      </w:r>
    </w:p>
    <w:p w14:paraId="74EDEC5D" w14:textId="07479276" w:rsidR="00D47AFD" w:rsidRPr="003D22C5" w:rsidRDefault="00DC5B94" w:rsidP="003D22C5">
      <w:pPr>
        <w:spacing w:line="240" w:lineRule="auto"/>
        <w:jc w:val="both"/>
        <w:rPr>
          <w:rFonts w:ascii="Verdana" w:hAnsi="Verdana"/>
          <w:sz w:val="19"/>
          <w:szCs w:val="19"/>
        </w:rPr>
      </w:pPr>
      <w:r w:rsidRPr="003D22C5">
        <w:rPr>
          <w:rFonts w:ascii="Verdana" w:hAnsi="Verdana"/>
          <w:sz w:val="19"/>
          <w:szCs w:val="19"/>
        </w:rPr>
        <w:t>Piyalepaşa İstanbul</w:t>
      </w:r>
      <w:r w:rsidR="000916FC" w:rsidRPr="003D22C5">
        <w:rPr>
          <w:rFonts w:ascii="Verdana" w:hAnsi="Verdana"/>
          <w:sz w:val="19"/>
          <w:szCs w:val="19"/>
        </w:rPr>
        <w:t xml:space="preserve">’da düzenlenen basın toplantısında konuşan </w:t>
      </w:r>
      <w:r w:rsidR="000916FC" w:rsidRPr="003D22C5">
        <w:rPr>
          <w:rFonts w:ascii="Verdana" w:hAnsi="Verdana"/>
          <w:b/>
          <w:i/>
          <w:sz w:val="19"/>
          <w:szCs w:val="19"/>
        </w:rPr>
        <w:t>Polat Holding Yönetim Kurulu Başkanı Adnan Polat</w:t>
      </w:r>
      <w:r w:rsidR="0075770A" w:rsidRPr="003D22C5">
        <w:rPr>
          <w:rFonts w:ascii="Verdana" w:hAnsi="Verdana"/>
          <w:sz w:val="19"/>
          <w:szCs w:val="19"/>
        </w:rPr>
        <w:t xml:space="preserve">, </w:t>
      </w:r>
      <w:r w:rsidR="0075770A" w:rsidRPr="003D22C5">
        <w:rPr>
          <w:rFonts w:ascii="Verdana" w:hAnsi="Verdana"/>
          <w:i/>
          <w:sz w:val="19"/>
          <w:szCs w:val="19"/>
        </w:rPr>
        <w:t>“</w:t>
      </w:r>
      <w:r w:rsidR="00830F7D" w:rsidRPr="003D22C5">
        <w:rPr>
          <w:rFonts w:ascii="Verdana" w:hAnsi="Verdana"/>
          <w:i/>
          <w:sz w:val="19"/>
          <w:szCs w:val="19"/>
        </w:rPr>
        <w:t>Gayrimenkul ülkemizde</w:t>
      </w:r>
      <w:r w:rsidR="00A613E5" w:rsidRPr="003D22C5">
        <w:rPr>
          <w:rFonts w:ascii="Verdana" w:hAnsi="Verdana"/>
          <w:i/>
          <w:sz w:val="19"/>
          <w:szCs w:val="19"/>
        </w:rPr>
        <w:t xml:space="preserve"> her zaman en karlı ve güvenli yatırım aracı</w:t>
      </w:r>
      <w:r w:rsidR="00830F7D" w:rsidRPr="003D22C5">
        <w:rPr>
          <w:rFonts w:ascii="Verdana" w:hAnsi="Verdana"/>
          <w:i/>
          <w:sz w:val="19"/>
          <w:szCs w:val="19"/>
        </w:rPr>
        <w:t xml:space="preserve"> olmuştur.</w:t>
      </w:r>
      <w:r w:rsidR="00E24619" w:rsidRPr="003D22C5">
        <w:rPr>
          <w:rFonts w:ascii="Verdana" w:hAnsi="Verdana"/>
          <w:i/>
          <w:sz w:val="19"/>
          <w:szCs w:val="19"/>
        </w:rPr>
        <w:t xml:space="preserve"> </w:t>
      </w:r>
      <w:r w:rsidR="00A613E5" w:rsidRPr="003D22C5">
        <w:rPr>
          <w:rFonts w:ascii="Verdana" w:hAnsi="Verdana"/>
          <w:i/>
          <w:sz w:val="19"/>
          <w:szCs w:val="19"/>
        </w:rPr>
        <w:t xml:space="preserve">Ekonomik ve </w:t>
      </w:r>
      <w:r w:rsidR="006770D3" w:rsidRPr="003D22C5">
        <w:rPr>
          <w:rFonts w:ascii="Verdana" w:hAnsi="Verdana"/>
          <w:i/>
          <w:sz w:val="19"/>
          <w:szCs w:val="19"/>
        </w:rPr>
        <w:t>siyasi alanda y</w:t>
      </w:r>
      <w:r w:rsidR="00A613E5" w:rsidRPr="003D22C5">
        <w:rPr>
          <w:rFonts w:ascii="Verdana" w:hAnsi="Verdana"/>
          <w:i/>
          <w:sz w:val="19"/>
          <w:szCs w:val="19"/>
        </w:rPr>
        <w:t xml:space="preserve">aşanan </w:t>
      </w:r>
      <w:r w:rsidR="00F55871" w:rsidRPr="003D22C5">
        <w:rPr>
          <w:rFonts w:ascii="Verdana" w:hAnsi="Verdana"/>
          <w:i/>
          <w:sz w:val="19"/>
          <w:szCs w:val="19"/>
        </w:rPr>
        <w:t>dalgalanmalara rağmen</w:t>
      </w:r>
      <w:r w:rsidR="00A613E5" w:rsidRPr="003D22C5">
        <w:rPr>
          <w:rFonts w:ascii="Verdana" w:hAnsi="Verdana"/>
          <w:i/>
          <w:sz w:val="19"/>
          <w:szCs w:val="19"/>
        </w:rPr>
        <w:t xml:space="preserve"> Türkiye’nin geleceğine ve sektörümüze olan inancımız</w:t>
      </w:r>
      <w:r w:rsidR="00CA7700" w:rsidRPr="003D22C5">
        <w:rPr>
          <w:rFonts w:ascii="Verdana" w:hAnsi="Verdana"/>
          <w:i/>
          <w:sz w:val="19"/>
          <w:szCs w:val="19"/>
        </w:rPr>
        <w:t xml:space="preserve"> tamdır. Bu azim ve istekle de </w:t>
      </w:r>
      <w:r w:rsidR="00A613E5" w:rsidRPr="003D22C5">
        <w:rPr>
          <w:rFonts w:ascii="Verdana" w:hAnsi="Verdana"/>
          <w:i/>
          <w:sz w:val="19"/>
          <w:szCs w:val="19"/>
        </w:rPr>
        <w:t>çalışmaya ve üretmeye devam ediyoruz. Bu</w:t>
      </w:r>
      <w:r w:rsidR="009715E4" w:rsidRPr="003D22C5">
        <w:rPr>
          <w:rFonts w:ascii="Verdana" w:hAnsi="Verdana"/>
          <w:i/>
          <w:sz w:val="19"/>
          <w:szCs w:val="19"/>
        </w:rPr>
        <w:t>gün, içinde bulunduğumuz konjonktüre rağmen ilk etabı teslim etmenin ve Piyalepaşa İstanbul’da yaşamı başlatmanın heyecanını ve gururunu yaşıyoruz.</w:t>
      </w:r>
      <w:r w:rsidR="00D47AFD" w:rsidRPr="003D22C5">
        <w:rPr>
          <w:rFonts w:ascii="Verdana" w:hAnsi="Verdana"/>
          <w:i/>
          <w:sz w:val="19"/>
          <w:szCs w:val="19"/>
        </w:rPr>
        <w:t xml:space="preserve"> İlk etapta yaklaşık 220 daireyi teslim ettik, 2019 yılı sonu itibarıyla da tüm konutların teslimini tamamlamayı hedefliyoruz”</w:t>
      </w:r>
      <w:r w:rsidR="00D47AFD" w:rsidRPr="003D22C5">
        <w:rPr>
          <w:rFonts w:ascii="Verdana" w:hAnsi="Verdana"/>
          <w:sz w:val="19"/>
          <w:szCs w:val="19"/>
        </w:rPr>
        <w:t xml:space="preserve"> dedi. </w:t>
      </w:r>
    </w:p>
    <w:p w14:paraId="547EC08C" w14:textId="038B50E8" w:rsidR="00D470E4" w:rsidRPr="003D22C5" w:rsidRDefault="00DC27B2" w:rsidP="003D22C5">
      <w:pPr>
        <w:spacing w:line="240" w:lineRule="auto"/>
        <w:jc w:val="both"/>
        <w:rPr>
          <w:rFonts w:ascii="Verdana" w:hAnsi="Verdana"/>
          <w:sz w:val="19"/>
          <w:szCs w:val="19"/>
        </w:rPr>
      </w:pPr>
      <w:r w:rsidRPr="003D22C5">
        <w:rPr>
          <w:rFonts w:ascii="Verdana" w:hAnsi="Verdana"/>
          <w:sz w:val="19"/>
          <w:szCs w:val="19"/>
        </w:rPr>
        <w:t>60 yılı aşkın</w:t>
      </w:r>
      <w:r w:rsidR="00E522D2" w:rsidRPr="003D22C5">
        <w:rPr>
          <w:rFonts w:ascii="Verdana" w:hAnsi="Verdana"/>
          <w:sz w:val="19"/>
          <w:szCs w:val="19"/>
        </w:rPr>
        <w:t xml:space="preserve"> geçmişi ve deneyimiyle</w:t>
      </w:r>
      <w:r w:rsidR="00D36C11" w:rsidRPr="003D22C5">
        <w:rPr>
          <w:rFonts w:ascii="Verdana" w:hAnsi="Verdana"/>
          <w:sz w:val="19"/>
          <w:szCs w:val="19"/>
        </w:rPr>
        <w:t xml:space="preserve"> inşaat sektörünün önde gelen </w:t>
      </w:r>
      <w:r w:rsidR="001624B6" w:rsidRPr="003D22C5">
        <w:rPr>
          <w:rFonts w:ascii="Verdana" w:hAnsi="Verdana"/>
          <w:sz w:val="19"/>
          <w:szCs w:val="19"/>
        </w:rPr>
        <w:t xml:space="preserve">markalarından </w:t>
      </w:r>
      <w:r w:rsidR="00C74530" w:rsidRPr="003D22C5">
        <w:rPr>
          <w:rFonts w:ascii="Verdana" w:hAnsi="Verdana"/>
          <w:sz w:val="19"/>
          <w:szCs w:val="19"/>
        </w:rPr>
        <w:t>biri haline geldiklerini</w:t>
      </w:r>
      <w:r w:rsidR="00E522D2" w:rsidRPr="003D22C5">
        <w:rPr>
          <w:rFonts w:ascii="Verdana" w:hAnsi="Verdana"/>
          <w:sz w:val="19"/>
          <w:szCs w:val="19"/>
        </w:rPr>
        <w:t xml:space="preserve"> belirten </w:t>
      </w:r>
      <w:r w:rsidR="00E522D2" w:rsidRPr="003D22C5">
        <w:rPr>
          <w:rFonts w:ascii="Verdana" w:hAnsi="Verdana"/>
          <w:b/>
          <w:i/>
          <w:sz w:val="19"/>
          <w:szCs w:val="19"/>
        </w:rPr>
        <w:t>Adnan Polat</w:t>
      </w:r>
      <w:r w:rsidR="001A0CFA" w:rsidRPr="003D22C5">
        <w:rPr>
          <w:rFonts w:ascii="Verdana" w:hAnsi="Verdana"/>
          <w:sz w:val="19"/>
          <w:szCs w:val="19"/>
        </w:rPr>
        <w:t xml:space="preserve">: </w:t>
      </w:r>
      <w:r w:rsidR="00E522D2" w:rsidRPr="003D22C5">
        <w:rPr>
          <w:rFonts w:ascii="Verdana" w:hAnsi="Verdana"/>
          <w:sz w:val="19"/>
          <w:szCs w:val="19"/>
        </w:rPr>
        <w:t>“</w:t>
      </w:r>
      <w:r w:rsidR="00DD56C6" w:rsidRPr="003D22C5">
        <w:rPr>
          <w:rFonts w:ascii="Verdana" w:hAnsi="Verdana"/>
          <w:i/>
          <w:sz w:val="19"/>
          <w:szCs w:val="19"/>
        </w:rPr>
        <w:t>B</w:t>
      </w:r>
      <w:r w:rsidR="00D36C11" w:rsidRPr="003D22C5">
        <w:rPr>
          <w:rFonts w:ascii="Verdana" w:hAnsi="Verdana"/>
          <w:i/>
          <w:sz w:val="19"/>
          <w:szCs w:val="19"/>
        </w:rPr>
        <w:t>ugün</w:t>
      </w:r>
      <w:r w:rsidR="001A0CFA" w:rsidRPr="003D22C5">
        <w:rPr>
          <w:rFonts w:ascii="Verdana" w:hAnsi="Verdana"/>
          <w:i/>
          <w:sz w:val="19"/>
          <w:szCs w:val="19"/>
        </w:rPr>
        <w:t xml:space="preserve"> </w:t>
      </w:r>
      <w:r w:rsidR="00D36C11" w:rsidRPr="003D22C5">
        <w:rPr>
          <w:rFonts w:ascii="Verdana" w:hAnsi="Verdana"/>
          <w:i/>
          <w:sz w:val="19"/>
          <w:szCs w:val="19"/>
        </w:rPr>
        <w:t xml:space="preserve">geldiğimiz noktada </w:t>
      </w:r>
      <w:r w:rsidR="00371608" w:rsidRPr="003D22C5">
        <w:rPr>
          <w:rFonts w:ascii="Verdana" w:hAnsi="Verdana"/>
          <w:i/>
          <w:sz w:val="19"/>
          <w:szCs w:val="19"/>
        </w:rPr>
        <w:t xml:space="preserve">gayrimenkul </w:t>
      </w:r>
      <w:r w:rsidR="00DD56C6" w:rsidRPr="003D22C5">
        <w:rPr>
          <w:rFonts w:ascii="Verdana" w:hAnsi="Verdana"/>
          <w:i/>
          <w:sz w:val="19"/>
          <w:szCs w:val="19"/>
        </w:rPr>
        <w:t>sektörü</w:t>
      </w:r>
      <w:r w:rsidR="00371608" w:rsidRPr="003D22C5">
        <w:rPr>
          <w:rFonts w:ascii="Verdana" w:hAnsi="Verdana"/>
          <w:i/>
          <w:sz w:val="19"/>
          <w:szCs w:val="19"/>
        </w:rPr>
        <w:t>nde</w:t>
      </w:r>
      <w:r w:rsidR="00DD56C6" w:rsidRPr="003D22C5">
        <w:rPr>
          <w:rFonts w:ascii="Verdana" w:hAnsi="Verdana"/>
          <w:i/>
          <w:sz w:val="19"/>
          <w:szCs w:val="19"/>
        </w:rPr>
        <w:t xml:space="preserve"> </w:t>
      </w:r>
      <w:r w:rsidR="00D36C11" w:rsidRPr="003D22C5">
        <w:rPr>
          <w:rFonts w:ascii="Verdana" w:hAnsi="Verdana"/>
          <w:i/>
          <w:sz w:val="19"/>
          <w:szCs w:val="19"/>
        </w:rPr>
        <w:t>edindiğimiz bilgi birikimi ve</w:t>
      </w:r>
      <w:r w:rsidR="00DD56C6" w:rsidRPr="003D22C5">
        <w:rPr>
          <w:rFonts w:ascii="Verdana" w:hAnsi="Verdana"/>
          <w:i/>
          <w:sz w:val="19"/>
          <w:szCs w:val="19"/>
        </w:rPr>
        <w:t xml:space="preserve"> </w:t>
      </w:r>
      <w:r w:rsidR="00371608" w:rsidRPr="003D22C5">
        <w:rPr>
          <w:rFonts w:ascii="Verdana" w:hAnsi="Verdana"/>
          <w:i/>
          <w:sz w:val="19"/>
          <w:szCs w:val="19"/>
        </w:rPr>
        <w:t xml:space="preserve">oluşturduğumuz </w:t>
      </w:r>
      <w:r w:rsidR="00DD56C6" w:rsidRPr="003D22C5">
        <w:rPr>
          <w:rFonts w:ascii="Verdana" w:hAnsi="Verdana"/>
          <w:i/>
          <w:sz w:val="19"/>
          <w:szCs w:val="19"/>
        </w:rPr>
        <w:t xml:space="preserve">güvenle, bir adım daha atarak Polat Yönetim şirketimizi kurduk. </w:t>
      </w:r>
      <w:r w:rsidR="008F63CB" w:rsidRPr="003D22C5">
        <w:rPr>
          <w:rFonts w:ascii="Verdana" w:hAnsi="Verdana"/>
          <w:i/>
          <w:sz w:val="19"/>
          <w:szCs w:val="19"/>
        </w:rPr>
        <w:t>Bu vesileyle gayrimenkulü</w:t>
      </w:r>
      <w:r w:rsidR="006C68A9" w:rsidRPr="003D22C5">
        <w:rPr>
          <w:rFonts w:ascii="Verdana" w:hAnsi="Verdana"/>
          <w:i/>
          <w:sz w:val="19"/>
          <w:szCs w:val="19"/>
        </w:rPr>
        <w:t>n proje geliştirme ve yatırım alanlarından sonr</w:t>
      </w:r>
      <w:r w:rsidR="00CE0D2F" w:rsidRPr="003D22C5">
        <w:rPr>
          <w:rFonts w:ascii="Verdana" w:hAnsi="Verdana"/>
          <w:i/>
          <w:sz w:val="19"/>
          <w:szCs w:val="19"/>
        </w:rPr>
        <w:t xml:space="preserve">a yönetim </w:t>
      </w:r>
      <w:r w:rsidR="008D3E99" w:rsidRPr="003D22C5">
        <w:rPr>
          <w:rFonts w:ascii="Verdana" w:hAnsi="Verdana"/>
          <w:i/>
          <w:sz w:val="19"/>
          <w:szCs w:val="19"/>
        </w:rPr>
        <w:t xml:space="preserve">alanına da </w:t>
      </w:r>
      <w:r w:rsidR="00CE0D2F" w:rsidRPr="003D22C5">
        <w:rPr>
          <w:rFonts w:ascii="Verdana" w:hAnsi="Verdana"/>
          <w:i/>
          <w:sz w:val="19"/>
          <w:szCs w:val="19"/>
        </w:rPr>
        <w:t>geçtik</w:t>
      </w:r>
      <w:r w:rsidR="006C68A9" w:rsidRPr="003D22C5">
        <w:rPr>
          <w:rFonts w:ascii="Verdana" w:hAnsi="Verdana"/>
          <w:i/>
          <w:sz w:val="19"/>
          <w:szCs w:val="19"/>
        </w:rPr>
        <w:t xml:space="preserve">. </w:t>
      </w:r>
      <w:r w:rsidR="00DD56C6" w:rsidRPr="003D22C5">
        <w:rPr>
          <w:rFonts w:ascii="Verdana" w:hAnsi="Verdana"/>
          <w:i/>
          <w:sz w:val="19"/>
          <w:szCs w:val="19"/>
        </w:rPr>
        <w:t xml:space="preserve">Polat Yönetim’le birlikte, bize güvenen müşterilerimize ve konut sakinlerimize daha iyi hizmet vermek için projelerimizin yönetim süreçlerini de </w:t>
      </w:r>
      <w:r w:rsidR="006C68A9" w:rsidRPr="003D22C5">
        <w:rPr>
          <w:rFonts w:ascii="Verdana" w:hAnsi="Verdana"/>
          <w:i/>
          <w:sz w:val="19"/>
          <w:szCs w:val="19"/>
        </w:rPr>
        <w:t>biz üsteleniyoruz</w:t>
      </w:r>
      <w:r w:rsidR="00DD56C6" w:rsidRPr="003D22C5">
        <w:rPr>
          <w:rFonts w:ascii="Verdana" w:hAnsi="Verdana"/>
          <w:i/>
          <w:sz w:val="19"/>
          <w:szCs w:val="19"/>
        </w:rPr>
        <w:t xml:space="preserve">. </w:t>
      </w:r>
      <w:r w:rsidR="00D470E4" w:rsidRPr="003D22C5">
        <w:rPr>
          <w:rFonts w:ascii="Verdana" w:hAnsi="Verdana"/>
          <w:i/>
          <w:sz w:val="19"/>
          <w:szCs w:val="19"/>
        </w:rPr>
        <w:t>Projelerimizde</w:t>
      </w:r>
      <w:r w:rsidR="00C74530" w:rsidRPr="003D22C5">
        <w:rPr>
          <w:rFonts w:ascii="Verdana" w:hAnsi="Verdana"/>
          <w:i/>
          <w:sz w:val="19"/>
          <w:szCs w:val="19"/>
        </w:rPr>
        <w:t xml:space="preserve"> güvenlik, temizlik ve yönetim </w:t>
      </w:r>
      <w:r w:rsidR="00D470E4" w:rsidRPr="003D22C5">
        <w:rPr>
          <w:rFonts w:ascii="Verdana" w:hAnsi="Verdana"/>
          <w:i/>
          <w:sz w:val="19"/>
          <w:szCs w:val="19"/>
        </w:rPr>
        <w:t>hizmetlerimizin</w:t>
      </w:r>
      <w:r w:rsidR="00C74530" w:rsidRPr="003D22C5">
        <w:rPr>
          <w:rFonts w:ascii="Verdana" w:hAnsi="Verdana"/>
          <w:i/>
          <w:sz w:val="19"/>
          <w:szCs w:val="19"/>
        </w:rPr>
        <w:t xml:space="preserve"> yanı sıra dairelerini teslim aldıktan sonra kiraya vermek veya satışa sunmak isteyen konut sahipleri için 2. El Satış ve Kiralama Birimi</w:t>
      </w:r>
      <w:r w:rsidR="00D470E4" w:rsidRPr="003D22C5">
        <w:rPr>
          <w:rFonts w:ascii="Verdana" w:hAnsi="Verdana"/>
          <w:i/>
          <w:sz w:val="19"/>
          <w:szCs w:val="19"/>
        </w:rPr>
        <w:t>miz de</w:t>
      </w:r>
      <w:r w:rsidR="00F6596A" w:rsidRPr="003D22C5">
        <w:rPr>
          <w:rFonts w:ascii="Verdana" w:hAnsi="Verdana"/>
          <w:i/>
          <w:sz w:val="19"/>
          <w:szCs w:val="19"/>
        </w:rPr>
        <w:t xml:space="preserve"> hizmet</w:t>
      </w:r>
      <w:r w:rsidR="00C74530" w:rsidRPr="003D22C5">
        <w:rPr>
          <w:rFonts w:ascii="Verdana" w:hAnsi="Verdana"/>
          <w:i/>
          <w:sz w:val="19"/>
          <w:szCs w:val="19"/>
        </w:rPr>
        <w:t xml:space="preserve"> </w:t>
      </w:r>
      <w:r w:rsidR="0038604A" w:rsidRPr="003D22C5">
        <w:rPr>
          <w:rFonts w:ascii="Verdana" w:hAnsi="Verdana"/>
          <w:i/>
          <w:sz w:val="19"/>
          <w:szCs w:val="19"/>
        </w:rPr>
        <w:t xml:space="preserve">vermeye </w:t>
      </w:r>
      <w:r w:rsidR="00C74530" w:rsidRPr="003D22C5">
        <w:rPr>
          <w:rFonts w:ascii="Verdana" w:hAnsi="Verdana"/>
          <w:i/>
          <w:sz w:val="19"/>
          <w:szCs w:val="19"/>
        </w:rPr>
        <w:t xml:space="preserve">başladı. </w:t>
      </w:r>
      <w:r w:rsidR="00D470E4" w:rsidRPr="003D22C5">
        <w:rPr>
          <w:rFonts w:ascii="Verdana" w:hAnsi="Verdana"/>
          <w:i/>
          <w:sz w:val="19"/>
          <w:szCs w:val="19"/>
        </w:rPr>
        <w:t xml:space="preserve">İnşaat sürecinden, konut satışı ve satış sonrasına kadar sunduğumuz hizmetlerle </w:t>
      </w:r>
      <w:r w:rsidR="0038604A" w:rsidRPr="003D22C5">
        <w:rPr>
          <w:rFonts w:ascii="Verdana" w:hAnsi="Verdana"/>
          <w:i/>
          <w:sz w:val="19"/>
          <w:szCs w:val="19"/>
        </w:rPr>
        <w:t xml:space="preserve">Polat </w:t>
      </w:r>
      <w:r w:rsidR="00D470E4" w:rsidRPr="003D22C5">
        <w:rPr>
          <w:rFonts w:ascii="Verdana" w:hAnsi="Verdana"/>
          <w:i/>
          <w:sz w:val="19"/>
          <w:szCs w:val="19"/>
        </w:rPr>
        <w:t>müşterileri</w:t>
      </w:r>
      <w:r w:rsidR="0038604A" w:rsidRPr="003D22C5">
        <w:rPr>
          <w:rFonts w:ascii="Verdana" w:hAnsi="Verdana"/>
          <w:i/>
          <w:sz w:val="19"/>
          <w:szCs w:val="19"/>
        </w:rPr>
        <w:t xml:space="preserve">nin </w:t>
      </w:r>
      <w:r w:rsidR="00D470E4" w:rsidRPr="003D22C5">
        <w:rPr>
          <w:rFonts w:ascii="Verdana" w:hAnsi="Verdana"/>
          <w:i/>
          <w:sz w:val="19"/>
          <w:szCs w:val="19"/>
        </w:rPr>
        <w:t>memnuniyetini sürd</w:t>
      </w:r>
      <w:r w:rsidR="0038604A" w:rsidRPr="003D22C5">
        <w:rPr>
          <w:rFonts w:ascii="Verdana" w:hAnsi="Verdana"/>
          <w:i/>
          <w:sz w:val="19"/>
          <w:szCs w:val="19"/>
        </w:rPr>
        <w:t>ürülebilir kılmayı hedefliyoruz</w:t>
      </w:r>
      <w:r w:rsidR="00D470E4" w:rsidRPr="003D22C5">
        <w:rPr>
          <w:rFonts w:ascii="Verdana" w:hAnsi="Verdana"/>
          <w:i/>
          <w:sz w:val="19"/>
          <w:szCs w:val="19"/>
        </w:rPr>
        <w:t>”</w:t>
      </w:r>
      <w:r w:rsidR="00D470E4" w:rsidRPr="003D22C5">
        <w:rPr>
          <w:rFonts w:ascii="Verdana" w:hAnsi="Verdana"/>
          <w:sz w:val="19"/>
          <w:szCs w:val="19"/>
        </w:rPr>
        <w:t xml:space="preserve"> dedi.</w:t>
      </w:r>
    </w:p>
    <w:p w14:paraId="3502996C" w14:textId="77777777" w:rsidR="003D22C5" w:rsidRPr="003D22C5" w:rsidRDefault="003D22C5" w:rsidP="00BB7B25">
      <w:pPr>
        <w:spacing w:line="240" w:lineRule="auto"/>
        <w:jc w:val="both"/>
        <w:rPr>
          <w:rFonts w:ascii="Verdana" w:hAnsi="Verdana"/>
          <w:b/>
          <w:i/>
          <w:sz w:val="2"/>
          <w:szCs w:val="19"/>
        </w:rPr>
      </w:pPr>
    </w:p>
    <w:p w14:paraId="6533CE22" w14:textId="1DEDB682" w:rsidR="007D06E1" w:rsidRPr="003D22C5" w:rsidRDefault="001065FF" w:rsidP="00BB7B25">
      <w:pPr>
        <w:spacing w:line="240" w:lineRule="auto"/>
        <w:jc w:val="both"/>
        <w:rPr>
          <w:rFonts w:ascii="Verdana" w:hAnsi="Verdana"/>
          <w:b/>
          <w:i/>
          <w:sz w:val="20"/>
          <w:szCs w:val="19"/>
        </w:rPr>
      </w:pPr>
      <w:r w:rsidRPr="003D22C5">
        <w:rPr>
          <w:rFonts w:ascii="Verdana" w:hAnsi="Verdana"/>
          <w:b/>
          <w:i/>
          <w:sz w:val="20"/>
          <w:szCs w:val="19"/>
        </w:rPr>
        <w:t xml:space="preserve">Türkiye’nin mahalle ölçeğindeki </w:t>
      </w:r>
      <w:r w:rsidR="00337400" w:rsidRPr="003D22C5">
        <w:rPr>
          <w:rFonts w:ascii="Verdana" w:hAnsi="Verdana"/>
          <w:b/>
          <w:i/>
          <w:sz w:val="20"/>
          <w:szCs w:val="19"/>
        </w:rPr>
        <w:t>ilk LEED GOLD</w:t>
      </w:r>
      <w:r w:rsidR="002B6F05" w:rsidRPr="003D22C5">
        <w:rPr>
          <w:rFonts w:ascii="Verdana" w:hAnsi="Verdana"/>
          <w:b/>
          <w:i/>
          <w:sz w:val="20"/>
          <w:szCs w:val="19"/>
        </w:rPr>
        <w:t xml:space="preserve"> Sertifikası Piyalepaşa İstanbul’un</w:t>
      </w:r>
      <w:r w:rsidR="000F190C" w:rsidRPr="003D22C5">
        <w:rPr>
          <w:rFonts w:ascii="Verdana" w:hAnsi="Verdana"/>
          <w:b/>
          <w:i/>
          <w:sz w:val="20"/>
          <w:szCs w:val="19"/>
        </w:rPr>
        <w:t>...</w:t>
      </w:r>
    </w:p>
    <w:p w14:paraId="59BDC7A6" w14:textId="68F25966" w:rsidR="00946A61" w:rsidRPr="003D22C5" w:rsidRDefault="00023D17" w:rsidP="003D22C5">
      <w:pPr>
        <w:spacing w:line="240" w:lineRule="auto"/>
        <w:jc w:val="both"/>
        <w:rPr>
          <w:rFonts w:ascii="Verdana" w:hAnsi="Verdana"/>
          <w:i/>
          <w:sz w:val="19"/>
          <w:szCs w:val="19"/>
        </w:rPr>
      </w:pPr>
      <w:r w:rsidRPr="003D22C5">
        <w:rPr>
          <w:rFonts w:ascii="Verdana" w:hAnsi="Verdana"/>
          <w:sz w:val="19"/>
          <w:szCs w:val="19"/>
        </w:rPr>
        <w:t>Piyalepaşa İstanbul’</w:t>
      </w:r>
      <w:r w:rsidR="006E162A" w:rsidRPr="003D22C5">
        <w:rPr>
          <w:rFonts w:ascii="Verdana" w:hAnsi="Verdana"/>
          <w:sz w:val="19"/>
          <w:szCs w:val="19"/>
        </w:rPr>
        <w:t xml:space="preserve">u, tüm avantajlarına ek olarak yüzde </w:t>
      </w:r>
      <w:r w:rsidRPr="003D22C5">
        <w:rPr>
          <w:rFonts w:ascii="Verdana" w:hAnsi="Verdana"/>
          <w:sz w:val="19"/>
          <w:szCs w:val="19"/>
        </w:rPr>
        <w:t xml:space="preserve">48 oranındaki yeşil alanıyla şehrin merkezinde doğaya karşı duyarlı bir yaşamın parçası olarak </w:t>
      </w:r>
      <w:r w:rsidR="006E162A" w:rsidRPr="003D22C5">
        <w:rPr>
          <w:rFonts w:ascii="Verdana" w:hAnsi="Verdana"/>
          <w:sz w:val="19"/>
          <w:szCs w:val="19"/>
        </w:rPr>
        <w:t xml:space="preserve">tasarladıklarını </w:t>
      </w:r>
      <w:r w:rsidRPr="003D22C5">
        <w:rPr>
          <w:rFonts w:ascii="Verdana" w:hAnsi="Verdana"/>
          <w:sz w:val="19"/>
          <w:szCs w:val="19"/>
        </w:rPr>
        <w:t xml:space="preserve">belirten </w:t>
      </w:r>
      <w:r w:rsidRPr="003D22C5">
        <w:rPr>
          <w:rFonts w:ascii="Verdana" w:hAnsi="Verdana"/>
          <w:b/>
          <w:i/>
          <w:sz w:val="19"/>
          <w:szCs w:val="19"/>
        </w:rPr>
        <w:t>Polat:</w:t>
      </w:r>
      <w:r w:rsidRPr="003D22C5">
        <w:rPr>
          <w:rFonts w:ascii="Verdana" w:hAnsi="Verdana"/>
          <w:sz w:val="19"/>
          <w:szCs w:val="19"/>
        </w:rPr>
        <w:t xml:space="preserve"> </w:t>
      </w:r>
      <w:r w:rsidRPr="003D22C5">
        <w:rPr>
          <w:rFonts w:ascii="Verdana" w:hAnsi="Verdana"/>
          <w:i/>
          <w:sz w:val="19"/>
          <w:szCs w:val="19"/>
        </w:rPr>
        <w:t>“</w:t>
      </w:r>
      <w:r w:rsidR="00CC24E3" w:rsidRPr="003D22C5">
        <w:rPr>
          <w:rFonts w:ascii="Verdana" w:hAnsi="Verdana"/>
          <w:i/>
          <w:sz w:val="19"/>
          <w:szCs w:val="19"/>
        </w:rPr>
        <w:t xml:space="preserve">Grubumuz </w:t>
      </w:r>
      <w:r w:rsidR="00CC24E3" w:rsidRPr="003D22C5">
        <w:rPr>
          <w:rFonts w:ascii="Verdana" w:hAnsi="Verdana"/>
          <w:i/>
          <w:sz w:val="19"/>
          <w:szCs w:val="19"/>
        </w:rPr>
        <w:lastRenderedPageBreak/>
        <w:t xml:space="preserve">ve sektör açısından bir prestij projesi olan Piyalepaşa İstanbul ile bir ilki daha yaşıyoruz. Projemiz, </w:t>
      </w:r>
      <w:r w:rsidR="00946A61" w:rsidRPr="003D22C5">
        <w:rPr>
          <w:rFonts w:ascii="Verdana" w:hAnsi="Verdana"/>
          <w:i/>
          <w:sz w:val="19"/>
          <w:szCs w:val="19"/>
        </w:rPr>
        <w:t>Türkiye’</w:t>
      </w:r>
      <w:r w:rsidR="00CC24E3" w:rsidRPr="003D22C5">
        <w:rPr>
          <w:rFonts w:ascii="Verdana" w:hAnsi="Verdana"/>
          <w:i/>
          <w:sz w:val="19"/>
          <w:szCs w:val="19"/>
        </w:rPr>
        <w:t xml:space="preserve">nin mahalle ölçeğinde </w:t>
      </w:r>
      <w:r w:rsidR="005C6713" w:rsidRPr="003D22C5">
        <w:rPr>
          <w:rFonts w:ascii="Verdana" w:hAnsi="Verdana"/>
          <w:i/>
          <w:sz w:val="19"/>
          <w:szCs w:val="19"/>
        </w:rPr>
        <w:t>ilk ‘</w:t>
      </w:r>
      <w:r w:rsidR="00CC24E3" w:rsidRPr="003D22C5">
        <w:rPr>
          <w:rFonts w:ascii="Verdana" w:hAnsi="Verdana"/>
          <w:b/>
          <w:i/>
          <w:sz w:val="19"/>
          <w:szCs w:val="19"/>
        </w:rPr>
        <w:t xml:space="preserve">LEED Gold Plan Ön Sertifikası’ </w:t>
      </w:r>
      <w:r w:rsidR="00CC24E3" w:rsidRPr="003D22C5">
        <w:rPr>
          <w:rFonts w:ascii="Verdana" w:hAnsi="Verdana"/>
          <w:i/>
          <w:sz w:val="19"/>
          <w:szCs w:val="19"/>
        </w:rPr>
        <w:t xml:space="preserve">alan proje oldu. Projemizin tasarım aşamasından yapım ve operasyon sürecine kadar her </w:t>
      </w:r>
      <w:r w:rsidR="005C6713" w:rsidRPr="003D22C5">
        <w:rPr>
          <w:rFonts w:ascii="Verdana" w:hAnsi="Verdana"/>
          <w:i/>
          <w:sz w:val="19"/>
          <w:szCs w:val="19"/>
        </w:rPr>
        <w:t>evresinde</w:t>
      </w:r>
      <w:r w:rsidR="003A5432" w:rsidRPr="003D22C5">
        <w:rPr>
          <w:rFonts w:ascii="Verdana" w:hAnsi="Verdana"/>
          <w:i/>
          <w:sz w:val="19"/>
          <w:szCs w:val="19"/>
        </w:rPr>
        <w:t xml:space="preserve"> çevre dostu uygulamaları dikkate aldık ve bu kriterlere uyumlu olacak şekilde h</w:t>
      </w:r>
      <w:r w:rsidR="00CC24E3" w:rsidRPr="003D22C5">
        <w:rPr>
          <w:rFonts w:ascii="Verdana" w:hAnsi="Verdana"/>
          <w:i/>
          <w:sz w:val="19"/>
          <w:szCs w:val="19"/>
        </w:rPr>
        <w:t>ayata geçir</w:t>
      </w:r>
      <w:r w:rsidR="005C6713" w:rsidRPr="003D22C5">
        <w:rPr>
          <w:rFonts w:ascii="Verdana" w:hAnsi="Verdana"/>
          <w:i/>
          <w:sz w:val="19"/>
          <w:szCs w:val="19"/>
        </w:rPr>
        <w:t xml:space="preserve">dik. </w:t>
      </w:r>
      <w:r w:rsidR="003A5432" w:rsidRPr="003D22C5">
        <w:rPr>
          <w:rFonts w:ascii="Verdana" w:hAnsi="Verdana"/>
          <w:i/>
          <w:sz w:val="19"/>
          <w:szCs w:val="19"/>
        </w:rPr>
        <w:t>E</w:t>
      </w:r>
      <w:r w:rsidR="00CC24E3" w:rsidRPr="003D22C5">
        <w:rPr>
          <w:rFonts w:ascii="Verdana" w:hAnsi="Verdana"/>
          <w:i/>
          <w:sz w:val="19"/>
          <w:szCs w:val="19"/>
        </w:rPr>
        <w:t>meğimizin karşılığını da bu şekilde almak bizleri onurlandır</w:t>
      </w:r>
      <w:r w:rsidR="003A5432" w:rsidRPr="003D22C5">
        <w:rPr>
          <w:rFonts w:ascii="Verdana" w:hAnsi="Verdana"/>
          <w:i/>
          <w:sz w:val="19"/>
          <w:szCs w:val="19"/>
        </w:rPr>
        <w:t>dı</w:t>
      </w:r>
      <w:r w:rsidR="00CC24E3" w:rsidRPr="003D22C5">
        <w:rPr>
          <w:rFonts w:ascii="Verdana" w:hAnsi="Verdana"/>
          <w:i/>
          <w:sz w:val="19"/>
          <w:szCs w:val="19"/>
        </w:rPr>
        <w:t xml:space="preserve"> ve gururlandırdı” </w:t>
      </w:r>
      <w:r w:rsidR="00CC24E3" w:rsidRPr="003D22C5">
        <w:rPr>
          <w:rFonts w:ascii="Verdana" w:hAnsi="Verdana"/>
          <w:sz w:val="19"/>
          <w:szCs w:val="19"/>
        </w:rPr>
        <w:t xml:space="preserve">dedi. </w:t>
      </w:r>
    </w:p>
    <w:p w14:paraId="71E0594C" w14:textId="77777777" w:rsidR="006052CE" w:rsidRPr="003D22C5" w:rsidRDefault="006052CE" w:rsidP="00BB7B25">
      <w:pPr>
        <w:spacing w:line="240" w:lineRule="auto"/>
        <w:jc w:val="both"/>
        <w:rPr>
          <w:rFonts w:ascii="Verdana" w:hAnsi="Verdana"/>
          <w:b/>
          <w:i/>
          <w:sz w:val="6"/>
          <w:szCs w:val="19"/>
        </w:rPr>
      </w:pPr>
    </w:p>
    <w:p w14:paraId="7E07FE0F" w14:textId="77777777" w:rsidR="00622DD0" w:rsidRPr="003D22C5" w:rsidRDefault="00607392" w:rsidP="00622DD0">
      <w:pPr>
        <w:spacing w:line="240" w:lineRule="auto"/>
        <w:jc w:val="both"/>
        <w:rPr>
          <w:rFonts w:ascii="Verdana" w:hAnsi="Verdana"/>
          <w:b/>
          <w:i/>
          <w:sz w:val="20"/>
          <w:szCs w:val="19"/>
        </w:rPr>
      </w:pPr>
      <w:r w:rsidRPr="003D22C5">
        <w:rPr>
          <w:rFonts w:ascii="Verdana" w:hAnsi="Verdana"/>
          <w:b/>
          <w:i/>
          <w:sz w:val="20"/>
          <w:szCs w:val="19"/>
        </w:rPr>
        <w:t>Şehrin kalbinde, ulaşım çok rahat</w:t>
      </w:r>
    </w:p>
    <w:p w14:paraId="3310CD00" w14:textId="13AA9072" w:rsidR="00607392" w:rsidRPr="003D22C5" w:rsidRDefault="00607392" w:rsidP="003D22C5">
      <w:pPr>
        <w:spacing w:line="240" w:lineRule="auto"/>
        <w:jc w:val="both"/>
        <w:rPr>
          <w:rFonts w:ascii="Verdana" w:hAnsi="Verdana"/>
          <w:b/>
          <w:i/>
          <w:sz w:val="19"/>
          <w:szCs w:val="19"/>
        </w:rPr>
      </w:pPr>
      <w:r w:rsidRPr="003D22C5">
        <w:rPr>
          <w:rFonts w:ascii="Verdana" w:hAnsi="Verdana"/>
          <w:sz w:val="19"/>
          <w:szCs w:val="19"/>
        </w:rPr>
        <w:t xml:space="preserve">Ulaşım açısından merkezi bir konumda bulunan Piyalepaşa İstanbul, Beyoğlu İstiklal Caddesi, Karaköy, Kabataş, Nişantaşı ve Beşiktaş gibi şehrin cazibe merkezlerine sadece birkaç dakika mesafede. İçerisinde ulaşım imkânı da bulunan proje D-100 karayolu ve çevreyolu bağlantılarına, Dolmabahçe ve Kâğıthane tünellerine, Çağlayan Adliyesi ve hastanelere yakın konumuyla da ön plana çıkıyor. </w:t>
      </w:r>
    </w:p>
    <w:p w14:paraId="7390B229" w14:textId="26783425" w:rsidR="00C0554C" w:rsidRPr="003D22C5" w:rsidRDefault="00931984" w:rsidP="003D22C5">
      <w:pPr>
        <w:spacing w:line="240" w:lineRule="auto"/>
        <w:jc w:val="both"/>
        <w:rPr>
          <w:rFonts w:ascii="Verdana" w:hAnsi="Verdana"/>
          <w:sz w:val="19"/>
          <w:szCs w:val="19"/>
        </w:rPr>
      </w:pPr>
      <w:r w:rsidRPr="003D22C5">
        <w:rPr>
          <w:rFonts w:ascii="Verdana" w:hAnsi="Verdana"/>
          <w:sz w:val="19"/>
          <w:szCs w:val="19"/>
        </w:rPr>
        <w:t>Proje içerisinde yer alan Alışveriş Sokağı</w:t>
      </w:r>
      <w:r w:rsidR="00391EFE" w:rsidRPr="003D22C5">
        <w:rPr>
          <w:rFonts w:ascii="Verdana" w:hAnsi="Verdana"/>
          <w:sz w:val="19"/>
          <w:szCs w:val="19"/>
        </w:rPr>
        <w:t xml:space="preserve"> ise </w:t>
      </w:r>
      <w:r w:rsidRPr="003D22C5">
        <w:rPr>
          <w:rFonts w:ascii="Verdana" w:hAnsi="Verdana"/>
          <w:sz w:val="19"/>
          <w:szCs w:val="19"/>
        </w:rPr>
        <w:t>550 metre uzunluğunda, 17 metre genişliğinde</w:t>
      </w:r>
      <w:r w:rsidR="00391EFE" w:rsidRPr="003D22C5">
        <w:rPr>
          <w:rFonts w:ascii="Verdana" w:hAnsi="Verdana"/>
          <w:sz w:val="19"/>
          <w:szCs w:val="19"/>
        </w:rPr>
        <w:t>.</w:t>
      </w:r>
      <w:r w:rsidRPr="003D22C5">
        <w:rPr>
          <w:rFonts w:ascii="Verdana" w:hAnsi="Verdana"/>
          <w:sz w:val="19"/>
          <w:szCs w:val="19"/>
        </w:rPr>
        <w:t xml:space="preserve"> </w:t>
      </w:r>
      <w:r w:rsidR="00391EFE" w:rsidRPr="003D22C5">
        <w:rPr>
          <w:rFonts w:ascii="Verdana" w:hAnsi="Verdana"/>
          <w:sz w:val="19"/>
          <w:szCs w:val="19"/>
        </w:rPr>
        <w:t xml:space="preserve">Yüzde 30 oranında kiralaması tamamlanan AVS’de 145 adet ulusal ve uluslararası marka yer alacak. </w:t>
      </w:r>
      <w:r w:rsidRPr="003D22C5">
        <w:rPr>
          <w:rFonts w:ascii="Verdana" w:hAnsi="Verdana"/>
          <w:sz w:val="19"/>
          <w:szCs w:val="19"/>
        </w:rPr>
        <w:t>Carrefour ve Cinemaximum</w:t>
      </w:r>
      <w:r w:rsidR="00391EFE" w:rsidRPr="003D22C5">
        <w:rPr>
          <w:rFonts w:ascii="Verdana" w:hAnsi="Verdana"/>
          <w:sz w:val="19"/>
          <w:szCs w:val="19"/>
        </w:rPr>
        <w:t xml:space="preserve"> gibi büyük markalarla anlaşmalar</w:t>
      </w:r>
      <w:r w:rsidR="003A24CA" w:rsidRPr="003D22C5">
        <w:rPr>
          <w:rFonts w:ascii="Verdana" w:hAnsi="Verdana"/>
          <w:sz w:val="19"/>
          <w:szCs w:val="19"/>
        </w:rPr>
        <w:t xml:space="preserve"> tamamlanırken, </w:t>
      </w:r>
      <w:r w:rsidR="00391EFE" w:rsidRPr="003D22C5">
        <w:rPr>
          <w:rFonts w:ascii="Verdana" w:hAnsi="Verdana"/>
          <w:sz w:val="19"/>
          <w:szCs w:val="19"/>
        </w:rPr>
        <w:t xml:space="preserve">eczane, bakkal </w:t>
      </w:r>
      <w:r w:rsidR="003A24CA" w:rsidRPr="003D22C5">
        <w:rPr>
          <w:rFonts w:ascii="Verdana" w:hAnsi="Verdana"/>
          <w:sz w:val="19"/>
          <w:szCs w:val="19"/>
        </w:rPr>
        <w:t xml:space="preserve">ve spor merkezi önümüzdeki aylarda açılacak. </w:t>
      </w:r>
    </w:p>
    <w:p w14:paraId="78C29060" w14:textId="77777777" w:rsidR="003D22C5" w:rsidRPr="003D22C5" w:rsidRDefault="003D22C5" w:rsidP="00710602">
      <w:pPr>
        <w:spacing w:before="240" w:after="240" w:line="360" w:lineRule="auto"/>
        <w:ind w:right="558"/>
        <w:jc w:val="both"/>
        <w:rPr>
          <w:rFonts w:ascii="Verdana" w:hAnsi="Verdana"/>
          <w:b/>
          <w:i/>
          <w:sz w:val="2"/>
          <w:szCs w:val="24"/>
          <w:u w:val="single"/>
        </w:rPr>
      </w:pPr>
    </w:p>
    <w:p w14:paraId="773D4695" w14:textId="6466D897" w:rsidR="00710602" w:rsidRPr="003D22C5" w:rsidRDefault="00044F4D" w:rsidP="00710602">
      <w:pPr>
        <w:spacing w:before="240" w:after="240" w:line="360" w:lineRule="auto"/>
        <w:ind w:right="558"/>
        <w:jc w:val="both"/>
        <w:rPr>
          <w:rFonts w:ascii="Verdana" w:hAnsi="Verdana"/>
          <w:b/>
          <w:i/>
          <w:sz w:val="18"/>
          <w:szCs w:val="24"/>
          <w:u w:val="single"/>
        </w:rPr>
      </w:pPr>
      <w:r w:rsidRPr="003D22C5">
        <w:rPr>
          <w:rFonts w:ascii="Verdana" w:hAnsi="Verdana"/>
          <w:b/>
          <w:i/>
          <w:sz w:val="18"/>
          <w:szCs w:val="24"/>
          <w:u w:val="single"/>
        </w:rPr>
        <w:t>Proje K</w:t>
      </w:r>
      <w:r w:rsidR="00710602" w:rsidRPr="003D22C5">
        <w:rPr>
          <w:rFonts w:ascii="Verdana" w:hAnsi="Verdana"/>
          <w:b/>
          <w:i/>
          <w:sz w:val="18"/>
          <w:szCs w:val="24"/>
          <w:u w:val="single"/>
        </w:rPr>
        <w:t>ünyesi:</w:t>
      </w:r>
    </w:p>
    <w:tbl>
      <w:tblPr>
        <w:tblStyle w:val="GridTable2-Accent2"/>
        <w:tblW w:w="9280" w:type="dxa"/>
        <w:tblLook w:val="0480" w:firstRow="0" w:lastRow="0" w:firstColumn="1" w:lastColumn="0" w:noHBand="0" w:noVBand="1"/>
      </w:tblPr>
      <w:tblGrid>
        <w:gridCol w:w="4640"/>
        <w:gridCol w:w="4640"/>
      </w:tblGrid>
      <w:tr w:rsidR="003D22C5" w:rsidRPr="003D22C5" w14:paraId="3DEB16D6" w14:textId="77777777" w:rsidTr="003D22C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640" w:type="dxa"/>
            <w:hideMark/>
          </w:tcPr>
          <w:p w14:paraId="676E7D7F"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Proje Yatırımcısı</w:t>
            </w:r>
          </w:p>
        </w:tc>
        <w:tc>
          <w:tcPr>
            <w:tcW w:w="4640" w:type="dxa"/>
            <w:hideMark/>
          </w:tcPr>
          <w:p w14:paraId="14D1565E" w14:textId="77777777" w:rsidR="003D22C5" w:rsidRPr="003D22C5" w:rsidRDefault="003D22C5" w:rsidP="003D22C5">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Piyalepaşa Gayrimenkul Geliştirme Yatırımı ve Ticaret A.Ş</w:t>
            </w:r>
          </w:p>
        </w:tc>
      </w:tr>
      <w:tr w:rsidR="003D22C5" w:rsidRPr="003D22C5" w14:paraId="101CFAE4" w14:textId="77777777" w:rsidTr="003D22C5">
        <w:trPr>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7ED7DC8A"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Yatırım Tutarı</w:t>
            </w:r>
          </w:p>
        </w:tc>
        <w:tc>
          <w:tcPr>
            <w:tcW w:w="4640" w:type="dxa"/>
            <w:hideMark/>
          </w:tcPr>
          <w:p w14:paraId="3A34A14E" w14:textId="77777777" w:rsidR="003D22C5" w:rsidRPr="003D22C5" w:rsidRDefault="003D22C5" w:rsidP="003D22C5">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3D22C5">
              <w:rPr>
                <w:rFonts w:ascii="Verdana" w:hAnsi="Verdana"/>
                <w:bCs/>
                <w:color w:val="000000"/>
                <w:sz w:val="18"/>
                <w:szCs w:val="18"/>
              </w:rPr>
              <w:t>4 milyar TL</w:t>
            </w:r>
          </w:p>
        </w:tc>
      </w:tr>
      <w:tr w:rsidR="003D22C5" w:rsidRPr="003D22C5" w14:paraId="3D8D263A" w14:textId="77777777" w:rsidTr="003D22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42D1B03B"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İnşaat Alanı</w:t>
            </w:r>
          </w:p>
        </w:tc>
        <w:tc>
          <w:tcPr>
            <w:tcW w:w="4640" w:type="dxa"/>
            <w:hideMark/>
          </w:tcPr>
          <w:p w14:paraId="01629224" w14:textId="77777777" w:rsidR="003D22C5" w:rsidRPr="003D22C5" w:rsidRDefault="003D22C5" w:rsidP="003D22C5">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450.000 m²</w:t>
            </w:r>
          </w:p>
        </w:tc>
      </w:tr>
      <w:tr w:rsidR="003D22C5" w:rsidRPr="003D22C5" w14:paraId="134AFE9A" w14:textId="77777777" w:rsidTr="003D22C5">
        <w:trPr>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6B004CEB"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Konut Adedi</w:t>
            </w:r>
          </w:p>
        </w:tc>
        <w:tc>
          <w:tcPr>
            <w:tcW w:w="4640" w:type="dxa"/>
            <w:hideMark/>
          </w:tcPr>
          <w:p w14:paraId="0593D47A" w14:textId="77777777" w:rsidR="003D22C5" w:rsidRPr="003D22C5" w:rsidRDefault="003D22C5" w:rsidP="003D22C5">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760</w:t>
            </w:r>
          </w:p>
        </w:tc>
      </w:tr>
      <w:tr w:rsidR="003D22C5" w:rsidRPr="003D22C5" w14:paraId="7EDA9756" w14:textId="77777777" w:rsidTr="003D22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3F1608DA"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Rezidans Adedi</w:t>
            </w:r>
          </w:p>
        </w:tc>
        <w:tc>
          <w:tcPr>
            <w:tcW w:w="4640" w:type="dxa"/>
            <w:hideMark/>
          </w:tcPr>
          <w:p w14:paraId="4B5E61CB" w14:textId="77777777" w:rsidR="003D22C5" w:rsidRPr="003D22C5" w:rsidRDefault="003D22C5" w:rsidP="003D22C5">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190</w:t>
            </w:r>
          </w:p>
        </w:tc>
      </w:tr>
      <w:tr w:rsidR="003D22C5" w:rsidRPr="003D22C5" w14:paraId="41AEA091" w14:textId="77777777" w:rsidTr="003D22C5">
        <w:trPr>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22ECC258"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Ofis Alanı</w:t>
            </w:r>
          </w:p>
        </w:tc>
        <w:tc>
          <w:tcPr>
            <w:tcW w:w="4640" w:type="dxa"/>
            <w:hideMark/>
          </w:tcPr>
          <w:p w14:paraId="6FE8666F" w14:textId="77777777" w:rsidR="003D22C5" w:rsidRPr="003D22C5" w:rsidRDefault="003D22C5" w:rsidP="003D22C5">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45.000 m²</w:t>
            </w:r>
          </w:p>
        </w:tc>
      </w:tr>
      <w:tr w:rsidR="003D22C5" w:rsidRPr="003D22C5" w14:paraId="09D33ED5" w14:textId="77777777" w:rsidTr="003D22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6352B869"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Otel Alanı</w:t>
            </w:r>
          </w:p>
        </w:tc>
        <w:tc>
          <w:tcPr>
            <w:tcW w:w="4640" w:type="dxa"/>
            <w:hideMark/>
          </w:tcPr>
          <w:p w14:paraId="777976E6" w14:textId="77777777" w:rsidR="003D22C5" w:rsidRPr="003D22C5" w:rsidRDefault="003D22C5" w:rsidP="003D22C5">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34.000 m²</w:t>
            </w:r>
          </w:p>
        </w:tc>
      </w:tr>
      <w:tr w:rsidR="003D22C5" w:rsidRPr="003D22C5" w14:paraId="6642043B" w14:textId="77777777" w:rsidTr="003D22C5">
        <w:trPr>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081E2CCD"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AVS Kiralanabilir Alan&amp;Mağaza Sayısı</w:t>
            </w:r>
          </w:p>
        </w:tc>
        <w:tc>
          <w:tcPr>
            <w:tcW w:w="4640" w:type="dxa"/>
            <w:hideMark/>
          </w:tcPr>
          <w:p w14:paraId="08A96987" w14:textId="1140FAAC" w:rsidR="003D22C5" w:rsidRPr="003D22C5" w:rsidRDefault="003D22C5" w:rsidP="003D22C5">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35</w:t>
            </w:r>
            <w:r w:rsidR="00C34E34">
              <w:rPr>
                <w:rFonts w:ascii="Verdana" w:hAnsi="Verdana"/>
                <w:color w:val="000000"/>
                <w:sz w:val="18"/>
                <w:szCs w:val="18"/>
              </w:rPr>
              <w:t>.</w:t>
            </w:r>
            <w:bookmarkStart w:id="0" w:name="_GoBack"/>
            <w:bookmarkEnd w:id="0"/>
            <w:r w:rsidRPr="003D22C5">
              <w:rPr>
                <w:rFonts w:ascii="Verdana" w:hAnsi="Verdana"/>
                <w:color w:val="000000"/>
                <w:sz w:val="18"/>
                <w:szCs w:val="18"/>
              </w:rPr>
              <w:t>000 m² - 145</w:t>
            </w:r>
          </w:p>
        </w:tc>
      </w:tr>
      <w:tr w:rsidR="003D22C5" w:rsidRPr="003D22C5" w14:paraId="26869BD6" w14:textId="77777777" w:rsidTr="003D22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0DA94160"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Kapalı Sosyal Tesis Alanı</w:t>
            </w:r>
          </w:p>
        </w:tc>
        <w:tc>
          <w:tcPr>
            <w:tcW w:w="4640" w:type="dxa"/>
            <w:hideMark/>
          </w:tcPr>
          <w:p w14:paraId="313DAF9B" w14:textId="7EC6DB7A" w:rsidR="003D22C5" w:rsidRPr="005F4F2E" w:rsidRDefault="005F4F2E" w:rsidP="003D22C5">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vertAlign w:val="superscript"/>
              </w:rPr>
            </w:pPr>
            <w:r>
              <w:rPr>
                <w:rFonts w:ascii="Verdana" w:hAnsi="Verdana"/>
                <w:color w:val="000000"/>
                <w:sz w:val="18"/>
                <w:szCs w:val="18"/>
              </w:rPr>
              <w:t>1.000 m</w:t>
            </w:r>
            <w:r>
              <w:rPr>
                <w:rFonts w:ascii="Verdana" w:hAnsi="Verdana"/>
                <w:color w:val="000000"/>
                <w:sz w:val="18"/>
                <w:szCs w:val="18"/>
                <w:vertAlign w:val="superscript"/>
              </w:rPr>
              <w:t>2</w:t>
            </w:r>
          </w:p>
        </w:tc>
      </w:tr>
      <w:tr w:rsidR="003D22C5" w:rsidRPr="003D22C5" w14:paraId="63B2E0B9" w14:textId="77777777" w:rsidTr="003D22C5">
        <w:trPr>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15152202"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Spor Merkezi</w:t>
            </w:r>
          </w:p>
        </w:tc>
        <w:tc>
          <w:tcPr>
            <w:tcW w:w="4640" w:type="dxa"/>
            <w:hideMark/>
          </w:tcPr>
          <w:p w14:paraId="66C66238" w14:textId="77777777" w:rsidR="003D22C5" w:rsidRPr="003D22C5" w:rsidRDefault="003D22C5" w:rsidP="003D22C5">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2.500 m²</w:t>
            </w:r>
          </w:p>
        </w:tc>
      </w:tr>
      <w:tr w:rsidR="003D22C5" w:rsidRPr="003D22C5" w14:paraId="5C48E3A2" w14:textId="77777777" w:rsidTr="003D22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60640600"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Otopark</w:t>
            </w:r>
          </w:p>
        </w:tc>
        <w:tc>
          <w:tcPr>
            <w:tcW w:w="4640" w:type="dxa"/>
            <w:hideMark/>
          </w:tcPr>
          <w:p w14:paraId="7847244F" w14:textId="77777777" w:rsidR="003D22C5" w:rsidRPr="003D22C5" w:rsidRDefault="003D22C5" w:rsidP="003D22C5">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3.900</w:t>
            </w:r>
          </w:p>
        </w:tc>
      </w:tr>
      <w:tr w:rsidR="003D22C5" w:rsidRPr="003D22C5" w14:paraId="2825BA60" w14:textId="77777777" w:rsidTr="003D22C5">
        <w:trPr>
          <w:trHeight w:val="390"/>
        </w:trPr>
        <w:tc>
          <w:tcPr>
            <w:cnfStyle w:val="001000000000" w:firstRow="0" w:lastRow="0" w:firstColumn="1" w:lastColumn="0" w:oddVBand="0" w:evenVBand="0" w:oddHBand="0" w:evenHBand="0" w:firstRowFirstColumn="0" w:firstRowLastColumn="0" w:lastRowFirstColumn="0" w:lastRowLastColumn="0"/>
            <w:tcW w:w="4640" w:type="dxa"/>
            <w:hideMark/>
          </w:tcPr>
          <w:p w14:paraId="73519E48" w14:textId="77777777" w:rsidR="003D22C5" w:rsidRPr="003D22C5" w:rsidRDefault="003D22C5" w:rsidP="003D22C5">
            <w:pPr>
              <w:rPr>
                <w:rFonts w:ascii="Verdana" w:hAnsi="Verdana"/>
                <w:i/>
                <w:iCs/>
                <w:color w:val="000000"/>
                <w:sz w:val="18"/>
                <w:szCs w:val="18"/>
              </w:rPr>
            </w:pPr>
            <w:r w:rsidRPr="003D22C5">
              <w:rPr>
                <w:rFonts w:ascii="Verdana" w:hAnsi="Verdana"/>
                <w:i/>
                <w:iCs/>
                <w:color w:val="000000"/>
                <w:sz w:val="18"/>
                <w:szCs w:val="18"/>
              </w:rPr>
              <w:t>Mimarlık Ofisi</w:t>
            </w:r>
          </w:p>
        </w:tc>
        <w:tc>
          <w:tcPr>
            <w:tcW w:w="4640" w:type="dxa"/>
            <w:hideMark/>
          </w:tcPr>
          <w:p w14:paraId="1D322798" w14:textId="77777777" w:rsidR="003D22C5" w:rsidRPr="003D22C5" w:rsidRDefault="003D22C5" w:rsidP="003D22C5">
            <w:pPr>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3D22C5">
              <w:rPr>
                <w:rFonts w:ascii="Verdana" w:hAnsi="Verdana"/>
                <w:color w:val="000000"/>
                <w:sz w:val="18"/>
                <w:szCs w:val="18"/>
              </w:rPr>
              <w:t>iki design group</w:t>
            </w:r>
          </w:p>
        </w:tc>
      </w:tr>
    </w:tbl>
    <w:p w14:paraId="19532244" w14:textId="77777777" w:rsidR="00710602" w:rsidRPr="00710602" w:rsidRDefault="00710602" w:rsidP="00710602">
      <w:pPr>
        <w:spacing w:line="360" w:lineRule="auto"/>
        <w:ind w:right="558" w:firstLine="720"/>
        <w:jc w:val="both"/>
        <w:rPr>
          <w:rFonts w:ascii="Verdana" w:hAnsi="Verdana"/>
          <w:sz w:val="4"/>
          <w:szCs w:val="24"/>
        </w:rPr>
      </w:pPr>
    </w:p>
    <w:p w14:paraId="10C96826" w14:textId="77777777" w:rsidR="00752BB7" w:rsidRPr="001653D9" w:rsidRDefault="00752BB7" w:rsidP="001653D9">
      <w:pPr>
        <w:spacing w:line="240" w:lineRule="auto"/>
        <w:jc w:val="both"/>
        <w:rPr>
          <w:rFonts w:ascii="Verdana" w:hAnsi="Verdana"/>
          <w:sz w:val="20"/>
          <w:szCs w:val="20"/>
        </w:rPr>
      </w:pPr>
    </w:p>
    <w:p w14:paraId="5A358782" w14:textId="77777777" w:rsidR="004826C4" w:rsidRPr="00AB6D7F" w:rsidRDefault="004826C4" w:rsidP="00785B18">
      <w:pPr>
        <w:pBdr>
          <w:bottom w:val="single" w:sz="6" w:space="1" w:color="auto"/>
        </w:pBdr>
        <w:jc w:val="both"/>
        <w:rPr>
          <w:rFonts w:ascii="Verdana" w:hAnsi="Verdana"/>
          <w:sz w:val="4"/>
          <w:szCs w:val="20"/>
        </w:rPr>
      </w:pPr>
    </w:p>
    <w:p w14:paraId="4B3C86BC" w14:textId="77777777" w:rsidR="003D22C5" w:rsidRPr="003D22C5" w:rsidRDefault="003D22C5" w:rsidP="00785B18">
      <w:pPr>
        <w:jc w:val="both"/>
        <w:rPr>
          <w:rFonts w:ascii="Verdana" w:hAnsi="Verdana"/>
          <w:b/>
          <w:sz w:val="2"/>
          <w:szCs w:val="20"/>
        </w:rPr>
      </w:pPr>
    </w:p>
    <w:p w14:paraId="514C6647" w14:textId="4FD6BFB3" w:rsidR="00785B18" w:rsidRPr="003D22C5" w:rsidRDefault="00206094" w:rsidP="00785B18">
      <w:pPr>
        <w:jc w:val="both"/>
        <w:rPr>
          <w:rFonts w:ascii="Verdana" w:hAnsi="Verdana"/>
          <w:b/>
          <w:sz w:val="18"/>
          <w:szCs w:val="20"/>
        </w:rPr>
      </w:pPr>
      <w:r w:rsidRPr="003D22C5">
        <w:rPr>
          <w:rFonts w:ascii="Verdana" w:hAnsi="Verdana"/>
          <w:b/>
          <w:sz w:val="18"/>
          <w:szCs w:val="20"/>
        </w:rPr>
        <w:t xml:space="preserve">Basın </w:t>
      </w:r>
      <w:r w:rsidR="00785B18" w:rsidRPr="003D22C5">
        <w:rPr>
          <w:rFonts w:ascii="Verdana" w:hAnsi="Verdana"/>
          <w:b/>
          <w:sz w:val="18"/>
          <w:szCs w:val="20"/>
        </w:rPr>
        <w:t>için</w:t>
      </w:r>
      <w:r w:rsidR="000109C7" w:rsidRPr="003D22C5">
        <w:rPr>
          <w:rFonts w:ascii="Verdana" w:hAnsi="Verdana"/>
          <w:b/>
          <w:sz w:val="18"/>
          <w:szCs w:val="20"/>
        </w:rPr>
        <w:t xml:space="preserve"> bilgi</w:t>
      </w:r>
      <w:r w:rsidR="00785B18" w:rsidRPr="003D22C5">
        <w:rPr>
          <w:rFonts w:ascii="Verdana" w:hAnsi="Verdana"/>
          <w:b/>
          <w:sz w:val="18"/>
          <w:szCs w:val="20"/>
        </w:rPr>
        <w:t xml:space="preserve"> :</w:t>
      </w:r>
    </w:p>
    <w:p w14:paraId="05C6CEE3" w14:textId="2458EE85" w:rsidR="00785B18" w:rsidRPr="003D22C5" w:rsidRDefault="00785B18" w:rsidP="003F65D7">
      <w:pPr>
        <w:spacing w:after="0"/>
        <w:jc w:val="both"/>
        <w:rPr>
          <w:rFonts w:ascii="Verdana" w:hAnsi="Verdana"/>
          <w:b/>
          <w:i/>
          <w:sz w:val="18"/>
          <w:szCs w:val="20"/>
        </w:rPr>
      </w:pPr>
      <w:r w:rsidRPr="003D22C5">
        <w:rPr>
          <w:rFonts w:ascii="Verdana" w:hAnsi="Verdana"/>
          <w:i/>
          <w:sz w:val="18"/>
          <w:szCs w:val="20"/>
        </w:rPr>
        <w:t>Polat Holding</w:t>
      </w:r>
      <w:r w:rsidR="003F65D7" w:rsidRPr="003D22C5">
        <w:rPr>
          <w:rFonts w:ascii="Verdana" w:hAnsi="Verdana"/>
          <w:b/>
          <w:i/>
          <w:sz w:val="18"/>
          <w:szCs w:val="20"/>
        </w:rPr>
        <w:t xml:space="preserve"> </w:t>
      </w:r>
      <w:r w:rsidRPr="003D22C5">
        <w:rPr>
          <w:rFonts w:ascii="Verdana" w:hAnsi="Verdana"/>
          <w:i/>
          <w:sz w:val="18"/>
          <w:szCs w:val="20"/>
        </w:rPr>
        <w:t xml:space="preserve">Pazarlama ve Kurumsal İletişim Uzmanı </w:t>
      </w:r>
    </w:p>
    <w:p w14:paraId="503E901A" w14:textId="36FB80C1" w:rsidR="00785B18" w:rsidRPr="003D22C5" w:rsidRDefault="00785B18" w:rsidP="003F65D7">
      <w:pPr>
        <w:spacing w:after="0"/>
        <w:jc w:val="both"/>
        <w:rPr>
          <w:rFonts w:ascii="Verdana" w:hAnsi="Verdana"/>
          <w:sz w:val="18"/>
          <w:szCs w:val="20"/>
        </w:rPr>
      </w:pPr>
      <w:r w:rsidRPr="003D22C5">
        <w:rPr>
          <w:rFonts w:ascii="Verdana" w:hAnsi="Verdana"/>
          <w:sz w:val="18"/>
          <w:szCs w:val="20"/>
        </w:rPr>
        <w:t>Hilal Yıldız – hilal.yildiz@polat.com - 0 554 719 08 23</w:t>
      </w:r>
    </w:p>
    <w:p w14:paraId="55ECB13B" w14:textId="77777777" w:rsidR="001A7702" w:rsidRPr="003D22C5" w:rsidRDefault="001A7702" w:rsidP="003F65D7">
      <w:pPr>
        <w:spacing w:after="0"/>
        <w:jc w:val="both"/>
        <w:rPr>
          <w:rFonts w:ascii="Verdana" w:hAnsi="Verdana"/>
          <w:sz w:val="18"/>
          <w:szCs w:val="20"/>
        </w:rPr>
      </w:pPr>
    </w:p>
    <w:p w14:paraId="69873EFB" w14:textId="7898EDEC" w:rsidR="00785B18" w:rsidRPr="003D22C5" w:rsidRDefault="003F65D7" w:rsidP="003F65D7">
      <w:pPr>
        <w:spacing w:after="0"/>
        <w:jc w:val="both"/>
        <w:rPr>
          <w:rFonts w:ascii="Verdana" w:hAnsi="Verdana"/>
          <w:i/>
          <w:sz w:val="18"/>
          <w:szCs w:val="20"/>
        </w:rPr>
      </w:pPr>
      <w:r w:rsidRPr="003D22C5">
        <w:rPr>
          <w:rFonts w:ascii="Verdana" w:hAnsi="Verdana"/>
          <w:i/>
          <w:sz w:val="18"/>
          <w:szCs w:val="20"/>
        </w:rPr>
        <w:t xml:space="preserve">Polat Holding </w:t>
      </w:r>
      <w:r w:rsidR="00785B18" w:rsidRPr="003D22C5">
        <w:rPr>
          <w:rFonts w:ascii="Verdana" w:hAnsi="Verdana"/>
          <w:i/>
          <w:sz w:val="18"/>
          <w:szCs w:val="20"/>
        </w:rPr>
        <w:t xml:space="preserve">Pazarlama ve Kurumsal İletişim Müdürü </w:t>
      </w:r>
    </w:p>
    <w:p w14:paraId="232FC3F6" w14:textId="6C09B362" w:rsidR="00AA0690" w:rsidRPr="003D22C5" w:rsidRDefault="00785B18" w:rsidP="003D22C5">
      <w:pPr>
        <w:spacing w:after="0"/>
        <w:jc w:val="both"/>
        <w:rPr>
          <w:rFonts w:ascii="Verdana" w:hAnsi="Verdana"/>
          <w:sz w:val="18"/>
          <w:szCs w:val="20"/>
        </w:rPr>
      </w:pPr>
      <w:r w:rsidRPr="003D22C5">
        <w:rPr>
          <w:rFonts w:ascii="Verdana" w:hAnsi="Verdana"/>
          <w:sz w:val="18"/>
          <w:szCs w:val="20"/>
        </w:rPr>
        <w:t>Habibe Aloğlu – habibe.aloglu@polat.com - 0 554 289 49 05</w:t>
      </w:r>
    </w:p>
    <w:sectPr w:rsidR="00AA0690" w:rsidRPr="003D22C5" w:rsidSect="001F5B51">
      <w:headerReference w:type="default" r:id="rId8"/>
      <w:footerReference w:type="default" r:id="rId9"/>
      <w:pgSz w:w="11906" w:h="16838"/>
      <w:pgMar w:top="195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C960" w14:textId="77777777" w:rsidR="000F7BDE" w:rsidRDefault="000F7BDE">
      <w:pPr>
        <w:spacing w:after="0" w:line="240" w:lineRule="auto"/>
      </w:pPr>
      <w:r>
        <w:separator/>
      </w:r>
    </w:p>
  </w:endnote>
  <w:endnote w:type="continuationSeparator" w:id="0">
    <w:p w14:paraId="0EFE5EC7" w14:textId="77777777" w:rsidR="000F7BDE" w:rsidRDefault="000F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E8D0" w14:textId="77777777" w:rsidR="00173C19" w:rsidRDefault="00173C19" w:rsidP="001F5B51">
    <w:pPr>
      <w:pStyle w:val="a"/>
      <w:jc w:val="right"/>
    </w:pPr>
    <w:r>
      <w:rPr>
        <w:noProof/>
        <w:lang w:val="en-US" w:eastAsia="en-US"/>
      </w:rPr>
      <w:drawing>
        <wp:inline distT="0" distB="0" distL="0" distR="0" wp14:anchorId="3B4F29AE" wp14:editId="66FED92B">
          <wp:extent cx="1371600" cy="600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
                    <a:extLst>
                      <a:ext uri="{28A0092B-C50C-407E-A947-70E740481C1C}">
                        <a14:useLocalDpi xmlns:a14="http://schemas.microsoft.com/office/drawing/2010/main" val="0"/>
                      </a:ext>
                    </a:extLst>
                  </a:blip>
                  <a:srcRect l="18919" t="32875" r="16216" b="27368"/>
                  <a:stretch>
                    <a:fillRect/>
                  </a:stretch>
                </pic:blipFill>
                <pic:spPr bwMode="auto">
                  <a:xfrm>
                    <a:off x="0" y="0"/>
                    <a:ext cx="1371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9BC82" w14:textId="77777777" w:rsidR="000F7BDE" w:rsidRDefault="000F7BDE">
      <w:pPr>
        <w:spacing w:after="0" w:line="240" w:lineRule="auto"/>
      </w:pPr>
      <w:r>
        <w:separator/>
      </w:r>
    </w:p>
  </w:footnote>
  <w:footnote w:type="continuationSeparator" w:id="0">
    <w:p w14:paraId="50B8C628" w14:textId="77777777" w:rsidR="000F7BDE" w:rsidRDefault="000F7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52F1" w14:textId="1092686D" w:rsidR="00173C19" w:rsidRDefault="00173C19" w:rsidP="001F5B51">
    <w:pPr>
      <w:pStyle w:val="a"/>
      <w:tabs>
        <w:tab w:val="clear" w:pos="4536"/>
        <w:tab w:val="clear" w:pos="9072"/>
        <w:tab w:val="left" w:pos="2970"/>
      </w:tabs>
    </w:pPr>
    <w:r>
      <w:rPr>
        <w:noProof/>
        <w:lang w:val="en-US" w:eastAsia="en-US"/>
      </w:rPr>
      <w:drawing>
        <wp:anchor distT="0" distB="0" distL="114300" distR="114300" simplePos="0" relativeHeight="251659264" behindDoc="0" locked="0" layoutInCell="1" allowOverlap="1" wp14:anchorId="5FA62AD4" wp14:editId="1E440125">
          <wp:simplePos x="0" y="0"/>
          <wp:positionH relativeFrom="margin">
            <wp:posOffset>2112645</wp:posOffset>
          </wp:positionH>
          <wp:positionV relativeFrom="paragraph">
            <wp:posOffset>-162560</wp:posOffset>
          </wp:positionV>
          <wp:extent cx="1891030" cy="693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
                    <a:extLst>
                      <a:ext uri="{28A0092B-C50C-407E-A947-70E740481C1C}">
                        <a14:useLocalDpi xmlns:a14="http://schemas.microsoft.com/office/drawing/2010/main" val="0"/>
                      </a:ext>
                    </a:extLst>
                  </a:blip>
                  <a:srcRect t="13611" b="10391"/>
                  <a:stretch>
                    <a:fillRect/>
                  </a:stretch>
                </pic:blipFill>
                <pic:spPr bwMode="auto">
                  <a:xfrm>
                    <a:off x="0" y="0"/>
                    <a:ext cx="1891030" cy="693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5241"/>
    <w:multiLevelType w:val="hybridMultilevel"/>
    <w:tmpl w:val="B73E401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B443B46"/>
    <w:multiLevelType w:val="hybridMultilevel"/>
    <w:tmpl w:val="7B9EDF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CFB466A"/>
    <w:multiLevelType w:val="hybridMultilevel"/>
    <w:tmpl w:val="0B10D9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A520921"/>
    <w:multiLevelType w:val="multilevel"/>
    <w:tmpl w:val="F190B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A4A61"/>
    <w:multiLevelType w:val="hybridMultilevel"/>
    <w:tmpl w:val="401858BE"/>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D1"/>
    <w:rsid w:val="0000515D"/>
    <w:rsid w:val="000109C7"/>
    <w:rsid w:val="00017863"/>
    <w:rsid w:val="00017A53"/>
    <w:rsid w:val="00023D17"/>
    <w:rsid w:val="000337E2"/>
    <w:rsid w:val="00041854"/>
    <w:rsid w:val="00041946"/>
    <w:rsid w:val="00043D25"/>
    <w:rsid w:val="00044F4D"/>
    <w:rsid w:val="00046BD1"/>
    <w:rsid w:val="00047ABB"/>
    <w:rsid w:val="00060A56"/>
    <w:rsid w:val="00072E39"/>
    <w:rsid w:val="00075252"/>
    <w:rsid w:val="000774EF"/>
    <w:rsid w:val="000916FC"/>
    <w:rsid w:val="0009507F"/>
    <w:rsid w:val="0009568A"/>
    <w:rsid w:val="0009702A"/>
    <w:rsid w:val="000A154B"/>
    <w:rsid w:val="000A4AAF"/>
    <w:rsid w:val="000A71D3"/>
    <w:rsid w:val="000B0042"/>
    <w:rsid w:val="000C0BE1"/>
    <w:rsid w:val="000C4E83"/>
    <w:rsid w:val="000C7A52"/>
    <w:rsid w:val="000D7A6E"/>
    <w:rsid w:val="000E2B5D"/>
    <w:rsid w:val="000E3A22"/>
    <w:rsid w:val="000E3B2B"/>
    <w:rsid w:val="000F190C"/>
    <w:rsid w:val="000F356F"/>
    <w:rsid w:val="000F7BDE"/>
    <w:rsid w:val="00102D61"/>
    <w:rsid w:val="00103E99"/>
    <w:rsid w:val="001065FF"/>
    <w:rsid w:val="001150D3"/>
    <w:rsid w:val="00115D5A"/>
    <w:rsid w:val="00124125"/>
    <w:rsid w:val="00133EA1"/>
    <w:rsid w:val="00134F3C"/>
    <w:rsid w:val="00137D31"/>
    <w:rsid w:val="00141E16"/>
    <w:rsid w:val="00143759"/>
    <w:rsid w:val="00144E93"/>
    <w:rsid w:val="0014687B"/>
    <w:rsid w:val="00147F76"/>
    <w:rsid w:val="001624B6"/>
    <w:rsid w:val="001653D9"/>
    <w:rsid w:val="00173C19"/>
    <w:rsid w:val="001742FB"/>
    <w:rsid w:val="00176127"/>
    <w:rsid w:val="00176321"/>
    <w:rsid w:val="00176DB7"/>
    <w:rsid w:val="00180B14"/>
    <w:rsid w:val="00185943"/>
    <w:rsid w:val="001910F0"/>
    <w:rsid w:val="00192E94"/>
    <w:rsid w:val="0019382D"/>
    <w:rsid w:val="00194CD9"/>
    <w:rsid w:val="001A0CFA"/>
    <w:rsid w:val="001A1794"/>
    <w:rsid w:val="001A50AF"/>
    <w:rsid w:val="001A65D4"/>
    <w:rsid w:val="001A7702"/>
    <w:rsid w:val="001B09E8"/>
    <w:rsid w:val="001C1991"/>
    <w:rsid w:val="001C4CA5"/>
    <w:rsid w:val="001D3133"/>
    <w:rsid w:val="001D5E64"/>
    <w:rsid w:val="001E1AD3"/>
    <w:rsid w:val="001E67CE"/>
    <w:rsid w:val="001F5B51"/>
    <w:rsid w:val="001F7136"/>
    <w:rsid w:val="0020304A"/>
    <w:rsid w:val="00206094"/>
    <w:rsid w:val="002211FA"/>
    <w:rsid w:val="0022585B"/>
    <w:rsid w:val="002365B0"/>
    <w:rsid w:val="0025233D"/>
    <w:rsid w:val="00254838"/>
    <w:rsid w:val="0027368E"/>
    <w:rsid w:val="0027541C"/>
    <w:rsid w:val="00283A94"/>
    <w:rsid w:val="0029692E"/>
    <w:rsid w:val="002A00F8"/>
    <w:rsid w:val="002A0224"/>
    <w:rsid w:val="002A029E"/>
    <w:rsid w:val="002B6F05"/>
    <w:rsid w:val="002C2237"/>
    <w:rsid w:val="002D28AC"/>
    <w:rsid w:val="002D34B1"/>
    <w:rsid w:val="002E4D0D"/>
    <w:rsid w:val="002E61FF"/>
    <w:rsid w:val="002F399E"/>
    <w:rsid w:val="002F5BD1"/>
    <w:rsid w:val="00304846"/>
    <w:rsid w:val="00304904"/>
    <w:rsid w:val="00310B35"/>
    <w:rsid w:val="0031189E"/>
    <w:rsid w:val="00311CE7"/>
    <w:rsid w:val="0032378F"/>
    <w:rsid w:val="00331823"/>
    <w:rsid w:val="0033314C"/>
    <w:rsid w:val="00333A7E"/>
    <w:rsid w:val="00337400"/>
    <w:rsid w:val="00343C03"/>
    <w:rsid w:val="00351B42"/>
    <w:rsid w:val="00352B48"/>
    <w:rsid w:val="00353298"/>
    <w:rsid w:val="00353331"/>
    <w:rsid w:val="00366EA4"/>
    <w:rsid w:val="00371608"/>
    <w:rsid w:val="00371F2F"/>
    <w:rsid w:val="00373D68"/>
    <w:rsid w:val="00374ED3"/>
    <w:rsid w:val="00376DEE"/>
    <w:rsid w:val="003814F9"/>
    <w:rsid w:val="00384362"/>
    <w:rsid w:val="0038604A"/>
    <w:rsid w:val="00390664"/>
    <w:rsid w:val="00390FF1"/>
    <w:rsid w:val="00391EFE"/>
    <w:rsid w:val="00396F4E"/>
    <w:rsid w:val="003A24CA"/>
    <w:rsid w:val="003A2948"/>
    <w:rsid w:val="003A5432"/>
    <w:rsid w:val="003B23E1"/>
    <w:rsid w:val="003B6EA3"/>
    <w:rsid w:val="003C3408"/>
    <w:rsid w:val="003D0B65"/>
    <w:rsid w:val="003D22C5"/>
    <w:rsid w:val="003D37D1"/>
    <w:rsid w:val="003D652B"/>
    <w:rsid w:val="003D7F18"/>
    <w:rsid w:val="003E55B6"/>
    <w:rsid w:val="003E6440"/>
    <w:rsid w:val="003F65D7"/>
    <w:rsid w:val="003F6B0E"/>
    <w:rsid w:val="004039FD"/>
    <w:rsid w:val="0040582A"/>
    <w:rsid w:val="004066F9"/>
    <w:rsid w:val="00416150"/>
    <w:rsid w:val="00420C86"/>
    <w:rsid w:val="00424C06"/>
    <w:rsid w:val="0042657B"/>
    <w:rsid w:val="00431682"/>
    <w:rsid w:val="004362E4"/>
    <w:rsid w:val="004409DA"/>
    <w:rsid w:val="0044298B"/>
    <w:rsid w:val="00450280"/>
    <w:rsid w:val="00453B0C"/>
    <w:rsid w:val="00462505"/>
    <w:rsid w:val="004633B5"/>
    <w:rsid w:val="00465C66"/>
    <w:rsid w:val="00466806"/>
    <w:rsid w:val="0047436C"/>
    <w:rsid w:val="00481288"/>
    <w:rsid w:val="004826C4"/>
    <w:rsid w:val="00485395"/>
    <w:rsid w:val="00487865"/>
    <w:rsid w:val="004904CF"/>
    <w:rsid w:val="00492886"/>
    <w:rsid w:val="00493ED5"/>
    <w:rsid w:val="004A270D"/>
    <w:rsid w:val="004A2D48"/>
    <w:rsid w:val="004A5AA2"/>
    <w:rsid w:val="004B1983"/>
    <w:rsid w:val="004B3C81"/>
    <w:rsid w:val="004B7706"/>
    <w:rsid w:val="004B7D66"/>
    <w:rsid w:val="004C27D5"/>
    <w:rsid w:val="004C2E46"/>
    <w:rsid w:val="004C6365"/>
    <w:rsid w:val="004D0127"/>
    <w:rsid w:val="004D02E0"/>
    <w:rsid w:val="004D326F"/>
    <w:rsid w:val="004D33DC"/>
    <w:rsid w:val="004D4C0F"/>
    <w:rsid w:val="004E02B2"/>
    <w:rsid w:val="004E7018"/>
    <w:rsid w:val="004E7A42"/>
    <w:rsid w:val="00501F81"/>
    <w:rsid w:val="0050421A"/>
    <w:rsid w:val="00504E10"/>
    <w:rsid w:val="005070D6"/>
    <w:rsid w:val="005119EF"/>
    <w:rsid w:val="005145D5"/>
    <w:rsid w:val="00530DB0"/>
    <w:rsid w:val="00532A06"/>
    <w:rsid w:val="0053523F"/>
    <w:rsid w:val="00535427"/>
    <w:rsid w:val="0055590A"/>
    <w:rsid w:val="00555F78"/>
    <w:rsid w:val="0056583E"/>
    <w:rsid w:val="005927C4"/>
    <w:rsid w:val="005950DB"/>
    <w:rsid w:val="005A0B85"/>
    <w:rsid w:val="005A5F18"/>
    <w:rsid w:val="005B146B"/>
    <w:rsid w:val="005B2F60"/>
    <w:rsid w:val="005C585C"/>
    <w:rsid w:val="005C6713"/>
    <w:rsid w:val="005D34CE"/>
    <w:rsid w:val="005D3E91"/>
    <w:rsid w:val="005D4933"/>
    <w:rsid w:val="005E214D"/>
    <w:rsid w:val="005F0F32"/>
    <w:rsid w:val="005F11A5"/>
    <w:rsid w:val="005F1E7E"/>
    <w:rsid w:val="005F4F2E"/>
    <w:rsid w:val="006022E9"/>
    <w:rsid w:val="006052CE"/>
    <w:rsid w:val="00606AE0"/>
    <w:rsid w:val="00607392"/>
    <w:rsid w:val="00616AA3"/>
    <w:rsid w:val="00617789"/>
    <w:rsid w:val="00622390"/>
    <w:rsid w:val="00622DD0"/>
    <w:rsid w:val="006246B4"/>
    <w:rsid w:val="0062669A"/>
    <w:rsid w:val="006308D3"/>
    <w:rsid w:val="00631233"/>
    <w:rsid w:val="00633FA1"/>
    <w:rsid w:val="00635A56"/>
    <w:rsid w:val="00637057"/>
    <w:rsid w:val="00644D40"/>
    <w:rsid w:val="006506A4"/>
    <w:rsid w:val="00651AFD"/>
    <w:rsid w:val="00656EE7"/>
    <w:rsid w:val="00657C22"/>
    <w:rsid w:val="006644BE"/>
    <w:rsid w:val="006740D1"/>
    <w:rsid w:val="00676A85"/>
    <w:rsid w:val="006770D3"/>
    <w:rsid w:val="006863C3"/>
    <w:rsid w:val="00696C9F"/>
    <w:rsid w:val="006A092A"/>
    <w:rsid w:val="006A13E4"/>
    <w:rsid w:val="006A3973"/>
    <w:rsid w:val="006A734C"/>
    <w:rsid w:val="006B56F5"/>
    <w:rsid w:val="006B7A7B"/>
    <w:rsid w:val="006C5CCD"/>
    <w:rsid w:val="006C64EC"/>
    <w:rsid w:val="006C68A9"/>
    <w:rsid w:val="006C6E2A"/>
    <w:rsid w:val="006D1325"/>
    <w:rsid w:val="006D1944"/>
    <w:rsid w:val="006D5911"/>
    <w:rsid w:val="006E0C04"/>
    <w:rsid w:val="006E162A"/>
    <w:rsid w:val="006E29C1"/>
    <w:rsid w:val="006E3C78"/>
    <w:rsid w:val="007058CB"/>
    <w:rsid w:val="00706438"/>
    <w:rsid w:val="00707EA6"/>
    <w:rsid w:val="00710602"/>
    <w:rsid w:val="007168FB"/>
    <w:rsid w:val="0072031C"/>
    <w:rsid w:val="00726F2B"/>
    <w:rsid w:val="00731BBE"/>
    <w:rsid w:val="007323CF"/>
    <w:rsid w:val="00743AD5"/>
    <w:rsid w:val="00750377"/>
    <w:rsid w:val="00750E3F"/>
    <w:rsid w:val="0075144B"/>
    <w:rsid w:val="00751C3B"/>
    <w:rsid w:val="00752BB7"/>
    <w:rsid w:val="0075770A"/>
    <w:rsid w:val="00776390"/>
    <w:rsid w:val="007841EB"/>
    <w:rsid w:val="00785B13"/>
    <w:rsid w:val="00785B18"/>
    <w:rsid w:val="0079210D"/>
    <w:rsid w:val="00796FD8"/>
    <w:rsid w:val="007A197D"/>
    <w:rsid w:val="007B1BFC"/>
    <w:rsid w:val="007C1B20"/>
    <w:rsid w:val="007D06E1"/>
    <w:rsid w:val="007D257D"/>
    <w:rsid w:val="007D259C"/>
    <w:rsid w:val="007D4FCE"/>
    <w:rsid w:val="007E1D5E"/>
    <w:rsid w:val="007E6C50"/>
    <w:rsid w:val="007F6D39"/>
    <w:rsid w:val="00803654"/>
    <w:rsid w:val="00803B98"/>
    <w:rsid w:val="00812F01"/>
    <w:rsid w:val="0081432C"/>
    <w:rsid w:val="00816466"/>
    <w:rsid w:val="0082086D"/>
    <w:rsid w:val="00821BED"/>
    <w:rsid w:val="00824639"/>
    <w:rsid w:val="00830F7D"/>
    <w:rsid w:val="00831E6A"/>
    <w:rsid w:val="008331E7"/>
    <w:rsid w:val="00841AFD"/>
    <w:rsid w:val="00842FCE"/>
    <w:rsid w:val="008507EC"/>
    <w:rsid w:val="00855F64"/>
    <w:rsid w:val="008644E2"/>
    <w:rsid w:val="0086599A"/>
    <w:rsid w:val="0086637B"/>
    <w:rsid w:val="00875344"/>
    <w:rsid w:val="00876E8D"/>
    <w:rsid w:val="00877F25"/>
    <w:rsid w:val="00880422"/>
    <w:rsid w:val="008814A4"/>
    <w:rsid w:val="00886032"/>
    <w:rsid w:val="00887085"/>
    <w:rsid w:val="00891D35"/>
    <w:rsid w:val="0089306F"/>
    <w:rsid w:val="0089475A"/>
    <w:rsid w:val="008960F1"/>
    <w:rsid w:val="008A2BA5"/>
    <w:rsid w:val="008A377A"/>
    <w:rsid w:val="008A3E9D"/>
    <w:rsid w:val="008A4631"/>
    <w:rsid w:val="008A6DA7"/>
    <w:rsid w:val="008B4F7B"/>
    <w:rsid w:val="008C0570"/>
    <w:rsid w:val="008C19DA"/>
    <w:rsid w:val="008C458D"/>
    <w:rsid w:val="008D0541"/>
    <w:rsid w:val="008D0ACA"/>
    <w:rsid w:val="008D3E99"/>
    <w:rsid w:val="008D5465"/>
    <w:rsid w:val="008D7A57"/>
    <w:rsid w:val="008F2D49"/>
    <w:rsid w:val="008F63CB"/>
    <w:rsid w:val="00901CEC"/>
    <w:rsid w:val="00913045"/>
    <w:rsid w:val="00914FA8"/>
    <w:rsid w:val="00915913"/>
    <w:rsid w:val="00921518"/>
    <w:rsid w:val="0092351F"/>
    <w:rsid w:val="00923DC4"/>
    <w:rsid w:val="0092475E"/>
    <w:rsid w:val="00931984"/>
    <w:rsid w:val="009411D8"/>
    <w:rsid w:val="009419AF"/>
    <w:rsid w:val="0094225F"/>
    <w:rsid w:val="0094431F"/>
    <w:rsid w:val="00945B76"/>
    <w:rsid w:val="00946A61"/>
    <w:rsid w:val="009675A1"/>
    <w:rsid w:val="009715E4"/>
    <w:rsid w:val="00973DB8"/>
    <w:rsid w:val="0097420C"/>
    <w:rsid w:val="009744B6"/>
    <w:rsid w:val="00974A19"/>
    <w:rsid w:val="00977F13"/>
    <w:rsid w:val="00980278"/>
    <w:rsid w:val="00983C9F"/>
    <w:rsid w:val="0099169D"/>
    <w:rsid w:val="0099194F"/>
    <w:rsid w:val="00991970"/>
    <w:rsid w:val="009A1A04"/>
    <w:rsid w:val="009A5F33"/>
    <w:rsid w:val="009B146E"/>
    <w:rsid w:val="009B1968"/>
    <w:rsid w:val="009B589C"/>
    <w:rsid w:val="009C6A6C"/>
    <w:rsid w:val="009D6898"/>
    <w:rsid w:val="009E6B7B"/>
    <w:rsid w:val="00A0588D"/>
    <w:rsid w:val="00A11A17"/>
    <w:rsid w:val="00A16130"/>
    <w:rsid w:val="00A24587"/>
    <w:rsid w:val="00A37074"/>
    <w:rsid w:val="00A42FAB"/>
    <w:rsid w:val="00A47FB6"/>
    <w:rsid w:val="00A60663"/>
    <w:rsid w:val="00A613E5"/>
    <w:rsid w:val="00A63977"/>
    <w:rsid w:val="00A65B1B"/>
    <w:rsid w:val="00A705D8"/>
    <w:rsid w:val="00A763AF"/>
    <w:rsid w:val="00A84B9F"/>
    <w:rsid w:val="00A935EB"/>
    <w:rsid w:val="00A937C1"/>
    <w:rsid w:val="00A93CCB"/>
    <w:rsid w:val="00A94BE3"/>
    <w:rsid w:val="00A94F41"/>
    <w:rsid w:val="00A964F5"/>
    <w:rsid w:val="00AA0690"/>
    <w:rsid w:val="00AA1D6A"/>
    <w:rsid w:val="00AB14B3"/>
    <w:rsid w:val="00AB6D7F"/>
    <w:rsid w:val="00AC06A9"/>
    <w:rsid w:val="00AC3273"/>
    <w:rsid w:val="00AC4B2D"/>
    <w:rsid w:val="00AC6309"/>
    <w:rsid w:val="00AD1D5D"/>
    <w:rsid w:val="00AF2301"/>
    <w:rsid w:val="00AF75D5"/>
    <w:rsid w:val="00B01DB2"/>
    <w:rsid w:val="00B10AAD"/>
    <w:rsid w:val="00B168E1"/>
    <w:rsid w:val="00B17F18"/>
    <w:rsid w:val="00B25E45"/>
    <w:rsid w:val="00B30037"/>
    <w:rsid w:val="00B373BE"/>
    <w:rsid w:val="00B41B61"/>
    <w:rsid w:val="00B422A4"/>
    <w:rsid w:val="00B428D3"/>
    <w:rsid w:val="00B45697"/>
    <w:rsid w:val="00B5147F"/>
    <w:rsid w:val="00B64D36"/>
    <w:rsid w:val="00B665CC"/>
    <w:rsid w:val="00B67105"/>
    <w:rsid w:val="00B74E17"/>
    <w:rsid w:val="00B75206"/>
    <w:rsid w:val="00B84342"/>
    <w:rsid w:val="00B910FE"/>
    <w:rsid w:val="00BB0C61"/>
    <w:rsid w:val="00BB2439"/>
    <w:rsid w:val="00BB7B25"/>
    <w:rsid w:val="00BD0754"/>
    <w:rsid w:val="00BD1533"/>
    <w:rsid w:val="00BD1E4F"/>
    <w:rsid w:val="00BE40C2"/>
    <w:rsid w:val="00BF213F"/>
    <w:rsid w:val="00BF53BE"/>
    <w:rsid w:val="00BF61C1"/>
    <w:rsid w:val="00BF7909"/>
    <w:rsid w:val="00C05050"/>
    <w:rsid w:val="00C0554C"/>
    <w:rsid w:val="00C11E71"/>
    <w:rsid w:val="00C15AE4"/>
    <w:rsid w:val="00C20A78"/>
    <w:rsid w:val="00C3146A"/>
    <w:rsid w:val="00C34E34"/>
    <w:rsid w:val="00C3640F"/>
    <w:rsid w:val="00C42F8D"/>
    <w:rsid w:val="00C61EDB"/>
    <w:rsid w:val="00C629F8"/>
    <w:rsid w:val="00C7273A"/>
    <w:rsid w:val="00C74530"/>
    <w:rsid w:val="00C74A92"/>
    <w:rsid w:val="00C86A06"/>
    <w:rsid w:val="00C93542"/>
    <w:rsid w:val="00C9490D"/>
    <w:rsid w:val="00C959AD"/>
    <w:rsid w:val="00C96C05"/>
    <w:rsid w:val="00CA175F"/>
    <w:rsid w:val="00CA29BD"/>
    <w:rsid w:val="00CA7700"/>
    <w:rsid w:val="00CB2E58"/>
    <w:rsid w:val="00CB307E"/>
    <w:rsid w:val="00CB702E"/>
    <w:rsid w:val="00CC24E3"/>
    <w:rsid w:val="00CC38C9"/>
    <w:rsid w:val="00CC638A"/>
    <w:rsid w:val="00CD1A09"/>
    <w:rsid w:val="00CD3F09"/>
    <w:rsid w:val="00CD418F"/>
    <w:rsid w:val="00CD6A63"/>
    <w:rsid w:val="00CE09C5"/>
    <w:rsid w:val="00CE0D2F"/>
    <w:rsid w:val="00CE4101"/>
    <w:rsid w:val="00CE52FF"/>
    <w:rsid w:val="00CE7532"/>
    <w:rsid w:val="00D0622F"/>
    <w:rsid w:val="00D1107F"/>
    <w:rsid w:val="00D13748"/>
    <w:rsid w:val="00D175AA"/>
    <w:rsid w:val="00D213B2"/>
    <w:rsid w:val="00D2348D"/>
    <w:rsid w:val="00D24CD6"/>
    <w:rsid w:val="00D25A52"/>
    <w:rsid w:val="00D26613"/>
    <w:rsid w:val="00D27783"/>
    <w:rsid w:val="00D351DA"/>
    <w:rsid w:val="00D36C11"/>
    <w:rsid w:val="00D406A9"/>
    <w:rsid w:val="00D4109A"/>
    <w:rsid w:val="00D420DF"/>
    <w:rsid w:val="00D43587"/>
    <w:rsid w:val="00D447BA"/>
    <w:rsid w:val="00D45F76"/>
    <w:rsid w:val="00D470E4"/>
    <w:rsid w:val="00D47AFD"/>
    <w:rsid w:val="00D51A87"/>
    <w:rsid w:val="00D5591C"/>
    <w:rsid w:val="00D5785C"/>
    <w:rsid w:val="00D61B29"/>
    <w:rsid w:val="00D63E6C"/>
    <w:rsid w:val="00D7010D"/>
    <w:rsid w:val="00D704EE"/>
    <w:rsid w:val="00D7096F"/>
    <w:rsid w:val="00D71733"/>
    <w:rsid w:val="00D74BA9"/>
    <w:rsid w:val="00D82D20"/>
    <w:rsid w:val="00DB14DA"/>
    <w:rsid w:val="00DB4EEC"/>
    <w:rsid w:val="00DC27B2"/>
    <w:rsid w:val="00DC5B94"/>
    <w:rsid w:val="00DC7987"/>
    <w:rsid w:val="00DD56C6"/>
    <w:rsid w:val="00DE079B"/>
    <w:rsid w:val="00DF7FE4"/>
    <w:rsid w:val="00E00AD0"/>
    <w:rsid w:val="00E03C90"/>
    <w:rsid w:val="00E060D6"/>
    <w:rsid w:val="00E11DFB"/>
    <w:rsid w:val="00E21AF6"/>
    <w:rsid w:val="00E22D21"/>
    <w:rsid w:val="00E23386"/>
    <w:rsid w:val="00E24619"/>
    <w:rsid w:val="00E2557D"/>
    <w:rsid w:val="00E26279"/>
    <w:rsid w:val="00E33479"/>
    <w:rsid w:val="00E33AD8"/>
    <w:rsid w:val="00E413A6"/>
    <w:rsid w:val="00E46932"/>
    <w:rsid w:val="00E522D2"/>
    <w:rsid w:val="00E54B5D"/>
    <w:rsid w:val="00E559BD"/>
    <w:rsid w:val="00E60DD5"/>
    <w:rsid w:val="00E6564C"/>
    <w:rsid w:val="00E82EF1"/>
    <w:rsid w:val="00E86E26"/>
    <w:rsid w:val="00E92E0F"/>
    <w:rsid w:val="00EA6842"/>
    <w:rsid w:val="00EC41B9"/>
    <w:rsid w:val="00ED1375"/>
    <w:rsid w:val="00EF33FA"/>
    <w:rsid w:val="00EF340A"/>
    <w:rsid w:val="00EF7144"/>
    <w:rsid w:val="00F01E0C"/>
    <w:rsid w:val="00F02ACF"/>
    <w:rsid w:val="00F06AE5"/>
    <w:rsid w:val="00F23734"/>
    <w:rsid w:val="00F24B1E"/>
    <w:rsid w:val="00F35525"/>
    <w:rsid w:val="00F44AFF"/>
    <w:rsid w:val="00F45279"/>
    <w:rsid w:val="00F46C5B"/>
    <w:rsid w:val="00F46EF7"/>
    <w:rsid w:val="00F55871"/>
    <w:rsid w:val="00F627DF"/>
    <w:rsid w:val="00F62B82"/>
    <w:rsid w:val="00F6596A"/>
    <w:rsid w:val="00F66022"/>
    <w:rsid w:val="00F67C33"/>
    <w:rsid w:val="00F70D98"/>
    <w:rsid w:val="00F93155"/>
    <w:rsid w:val="00F93A79"/>
    <w:rsid w:val="00F945C3"/>
    <w:rsid w:val="00F95985"/>
    <w:rsid w:val="00F95BAE"/>
    <w:rsid w:val="00F966DE"/>
    <w:rsid w:val="00FA19AB"/>
    <w:rsid w:val="00FA4A83"/>
    <w:rsid w:val="00FB1968"/>
    <w:rsid w:val="00FB67F9"/>
    <w:rsid w:val="00FC170A"/>
    <w:rsid w:val="00FC4933"/>
    <w:rsid w:val="00FE6CB1"/>
    <w:rsid w:val="00FF58F0"/>
    <w:rsid w:val="00FF79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F5DB2"/>
  <w15:docId w15:val="{97F9BA3A-1A6B-4D3B-BC7D-6AB80AF4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D1"/>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Footer"/>
    <w:link w:val="AltbilgiChar"/>
    <w:uiPriority w:val="99"/>
    <w:unhideWhenUsed/>
    <w:rsid w:val="003D37D1"/>
    <w:pPr>
      <w:tabs>
        <w:tab w:val="center" w:pos="4536"/>
        <w:tab w:val="right" w:pos="9072"/>
      </w:tabs>
      <w:spacing w:after="0" w:line="240" w:lineRule="auto"/>
    </w:pPr>
  </w:style>
  <w:style w:type="character" w:customStyle="1" w:styleId="stbilgiChar">
    <w:name w:val="Üstbilgi Char"/>
    <w:uiPriority w:val="99"/>
    <w:rsid w:val="003D37D1"/>
    <w:rPr>
      <w:rFonts w:ascii="Calibri" w:eastAsia="Times New Roman" w:hAnsi="Calibri" w:cs="Times New Roman"/>
      <w:lang w:eastAsia="tr-TR"/>
    </w:rPr>
  </w:style>
  <w:style w:type="character" w:styleId="Hyperlink">
    <w:name w:val="Hyperlink"/>
    <w:uiPriority w:val="99"/>
    <w:unhideWhenUsed/>
    <w:rsid w:val="003D37D1"/>
    <w:rPr>
      <w:color w:val="0000FF"/>
      <w:u w:val="single"/>
    </w:rPr>
  </w:style>
  <w:style w:type="character" w:customStyle="1" w:styleId="AltbilgiChar">
    <w:name w:val="Altbilgi Char"/>
    <w:link w:val="a"/>
    <w:uiPriority w:val="99"/>
    <w:rsid w:val="003D37D1"/>
    <w:rPr>
      <w:rFonts w:ascii="Calibri" w:eastAsia="Times New Roman" w:hAnsi="Calibri" w:cs="Times New Roman"/>
      <w:lang w:eastAsia="tr-TR"/>
    </w:rPr>
  </w:style>
  <w:style w:type="paragraph" w:styleId="NoSpacing">
    <w:name w:val="No Spacing"/>
    <w:uiPriority w:val="1"/>
    <w:qFormat/>
    <w:rsid w:val="003D37D1"/>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3D3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37D1"/>
    <w:rPr>
      <w:rFonts w:ascii="Calibri" w:eastAsia="Times New Roman" w:hAnsi="Calibri" w:cs="Times New Roman"/>
      <w:lang w:eastAsia="tr-TR"/>
    </w:rPr>
  </w:style>
  <w:style w:type="paragraph" w:styleId="Footer">
    <w:name w:val="footer"/>
    <w:basedOn w:val="Normal"/>
    <w:link w:val="FooterChar"/>
    <w:uiPriority w:val="99"/>
    <w:unhideWhenUsed/>
    <w:rsid w:val="003D3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37D1"/>
    <w:rPr>
      <w:rFonts w:ascii="Calibri" w:eastAsia="Times New Roman" w:hAnsi="Calibri" w:cs="Times New Roman"/>
      <w:lang w:eastAsia="tr-TR"/>
    </w:rPr>
  </w:style>
  <w:style w:type="character" w:styleId="CommentReference">
    <w:name w:val="annotation reference"/>
    <w:basedOn w:val="DefaultParagraphFont"/>
    <w:uiPriority w:val="99"/>
    <w:semiHidden/>
    <w:unhideWhenUsed/>
    <w:rsid w:val="002A029E"/>
    <w:rPr>
      <w:sz w:val="16"/>
      <w:szCs w:val="16"/>
    </w:rPr>
  </w:style>
  <w:style w:type="paragraph" w:styleId="CommentText">
    <w:name w:val="annotation text"/>
    <w:basedOn w:val="Normal"/>
    <w:link w:val="CommentTextChar"/>
    <w:uiPriority w:val="99"/>
    <w:semiHidden/>
    <w:unhideWhenUsed/>
    <w:rsid w:val="002A029E"/>
    <w:pPr>
      <w:spacing w:line="240" w:lineRule="auto"/>
    </w:pPr>
    <w:rPr>
      <w:sz w:val="20"/>
      <w:szCs w:val="20"/>
    </w:rPr>
  </w:style>
  <w:style w:type="character" w:customStyle="1" w:styleId="CommentTextChar">
    <w:name w:val="Comment Text Char"/>
    <w:basedOn w:val="DefaultParagraphFont"/>
    <w:link w:val="CommentText"/>
    <w:uiPriority w:val="99"/>
    <w:semiHidden/>
    <w:rsid w:val="002A029E"/>
    <w:rPr>
      <w:rFonts w:ascii="Calibri" w:eastAsia="Times New Roman"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A029E"/>
    <w:rPr>
      <w:b/>
      <w:bCs/>
    </w:rPr>
  </w:style>
  <w:style w:type="character" w:customStyle="1" w:styleId="CommentSubjectChar">
    <w:name w:val="Comment Subject Char"/>
    <w:basedOn w:val="CommentTextChar"/>
    <w:link w:val="CommentSubject"/>
    <w:uiPriority w:val="99"/>
    <w:semiHidden/>
    <w:rsid w:val="002A029E"/>
    <w:rPr>
      <w:rFonts w:ascii="Calibri" w:eastAsia="Times New Roman" w:hAnsi="Calibri" w:cs="Times New Roman"/>
      <w:b/>
      <w:bCs/>
      <w:sz w:val="20"/>
      <w:szCs w:val="20"/>
      <w:lang w:eastAsia="tr-TR"/>
    </w:rPr>
  </w:style>
  <w:style w:type="paragraph" w:styleId="BalloonText">
    <w:name w:val="Balloon Text"/>
    <w:basedOn w:val="Normal"/>
    <w:link w:val="BalloonTextChar"/>
    <w:uiPriority w:val="99"/>
    <w:semiHidden/>
    <w:unhideWhenUsed/>
    <w:rsid w:val="002A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9E"/>
    <w:rPr>
      <w:rFonts w:ascii="Segoe UI" w:eastAsia="Times New Roman" w:hAnsi="Segoe UI" w:cs="Segoe UI"/>
      <w:sz w:val="18"/>
      <w:szCs w:val="18"/>
      <w:lang w:eastAsia="tr-TR"/>
    </w:rPr>
  </w:style>
  <w:style w:type="character" w:customStyle="1" w:styleId="m3147485351645522135downloadlinklink">
    <w:name w:val="m_3147485351645522135download_link_link"/>
    <w:basedOn w:val="DefaultParagraphFont"/>
    <w:rsid w:val="00462505"/>
  </w:style>
  <w:style w:type="paragraph" w:styleId="NormalWeb">
    <w:name w:val="Normal (Web)"/>
    <w:basedOn w:val="Normal"/>
    <w:uiPriority w:val="99"/>
    <w:semiHidden/>
    <w:unhideWhenUsed/>
    <w:rsid w:val="005C585C"/>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CD3F09"/>
    <w:pPr>
      <w:spacing w:after="0" w:line="240" w:lineRule="auto"/>
      <w:ind w:left="720"/>
    </w:pPr>
    <w:rPr>
      <w:rFonts w:ascii="Times New Roman" w:eastAsiaTheme="minorHAnsi" w:hAnsi="Times New Roman"/>
      <w:sz w:val="24"/>
      <w:szCs w:val="24"/>
    </w:rPr>
  </w:style>
  <w:style w:type="table" w:styleId="GridTable2-Accent2">
    <w:name w:val="Grid Table 2 Accent 2"/>
    <w:basedOn w:val="TableNormal"/>
    <w:uiPriority w:val="47"/>
    <w:rsid w:val="0009702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004">
      <w:bodyDiv w:val="1"/>
      <w:marLeft w:val="0"/>
      <w:marRight w:val="0"/>
      <w:marTop w:val="0"/>
      <w:marBottom w:val="0"/>
      <w:divBdr>
        <w:top w:val="none" w:sz="0" w:space="0" w:color="auto"/>
        <w:left w:val="none" w:sz="0" w:space="0" w:color="auto"/>
        <w:bottom w:val="none" w:sz="0" w:space="0" w:color="auto"/>
        <w:right w:val="none" w:sz="0" w:space="0" w:color="auto"/>
      </w:divBdr>
    </w:div>
    <w:div w:id="384566284">
      <w:bodyDiv w:val="1"/>
      <w:marLeft w:val="0"/>
      <w:marRight w:val="0"/>
      <w:marTop w:val="0"/>
      <w:marBottom w:val="0"/>
      <w:divBdr>
        <w:top w:val="none" w:sz="0" w:space="0" w:color="auto"/>
        <w:left w:val="none" w:sz="0" w:space="0" w:color="auto"/>
        <w:bottom w:val="none" w:sz="0" w:space="0" w:color="auto"/>
        <w:right w:val="none" w:sz="0" w:space="0" w:color="auto"/>
      </w:divBdr>
    </w:div>
    <w:div w:id="518280602">
      <w:bodyDiv w:val="1"/>
      <w:marLeft w:val="0"/>
      <w:marRight w:val="0"/>
      <w:marTop w:val="0"/>
      <w:marBottom w:val="0"/>
      <w:divBdr>
        <w:top w:val="none" w:sz="0" w:space="0" w:color="auto"/>
        <w:left w:val="none" w:sz="0" w:space="0" w:color="auto"/>
        <w:bottom w:val="none" w:sz="0" w:space="0" w:color="auto"/>
        <w:right w:val="none" w:sz="0" w:space="0" w:color="auto"/>
      </w:divBdr>
    </w:div>
    <w:div w:id="962151604">
      <w:bodyDiv w:val="1"/>
      <w:marLeft w:val="0"/>
      <w:marRight w:val="0"/>
      <w:marTop w:val="0"/>
      <w:marBottom w:val="0"/>
      <w:divBdr>
        <w:top w:val="none" w:sz="0" w:space="0" w:color="auto"/>
        <w:left w:val="none" w:sz="0" w:space="0" w:color="auto"/>
        <w:bottom w:val="none" w:sz="0" w:space="0" w:color="auto"/>
        <w:right w:val="none" w:sz="0" w:space="0" w:color="auto"/>
      </w:divBdr>
    </w:div>
    <w:div w:id="1196848655">
      <w:bodyDiv w:val="1"/>
      <w:marLeft w:val="0"/>
      <w:marRight w:val="0"/>
      <w:marTop w:val="0"/>
      <w:marBottom w:val="0"/>
      <w:divBdr>
        <w:top w:val="none" w:sz="0" w:space="0" w:color="auto"/>
        <w:left w:val="none" w:sz="0" w:space="0" w:color="auto"/>
        <w:bottom w:val="none" w:sz="0" w:space="0" w:color="auto"/>
        <w:right w:val="none" w:sz="0" w:space="0" w:color="auto"/>
      </w:divBdr>
    </w:div>
    <w:div w:id="1210188505">
      <w:bodyDiv w:val="1"/>
      <w:marLeft w:val="0"/>
      <w:marRight w:val="0"/>
      <w:marTop w:val="0"/>
      <w:marBottom w:val="0"/>
      <w:divBdr>
        <w:top w:val="none" w:sz="0" w:space="0" w:color="auto"/>
        <w:left w:val="none" w:sz="0" w:space="0" w:color="auto"/>
        <w:bottom w:val="none" w:sz="0" w:space="0" w:color="auto"/>
        <w:right w:val="none" w:sz="0" w:space="0" w:color="auto"/>
      </w:divBdr>
    </w:div>
    <w:div w:id="1388803435">
      <w:bodyDiv w:val="1"/>
      <w:marLeft w:val="0"/>
      <w:marRight w:val="0"/>
      <w:marTop w:val="0"/>
      <w:marBottom w:val="0"/>
      <w:divBdr>
        <w:top w:val="none" w:sz="0" w:space="0" w:color="auto"/>
        <w:left w:val="none" w:sz="0" w:space="0" w:color="auto"/>
        <w:bottom w:val="none" w:sz="0" w:space="0" w:color="auto"/>
        <w:right w:val="none" w:sz="0" w:space="0" w:color="auto"/>
      </w:divBdr>
    </w:div>
    <w:div w:id="1396587504">
      <w:bodyDiv w:val="1"/>
      <w:marLeft w:val="0"/>
      <w:marRight w:val="0"/>
      <w:marTop w:val="0"/>
      <w:marBottom w:val="0"/>
      <w:divBdr>
        <w:top w:val="none" w:sz="0" w:space="0" w:color="auto"/>
        <w:left w:val="none" w:sz="0" w:space="0" w:color="auto"/>
        <w:bottom w:val="none" w:sz="0" w:space="0" w:color="auto"/>
        <w:right w:val="none" w:sz="0" w:space="0" w:color="auto"/>
      </w:divBdr>
    </w:div>
    <w:div w:id="1510607078">
      <w:bodyDiv w:val="1"/>
      <w:marLeft w:val="0"/>
      <w:marRight w:val="0"/>
      <w:marTop w:val="0"/>
      <w:marBottom w:val="0"/>
      <w:divBdr>
        <w:top w:val="none" w:sz="0" w:space="0" w:color="auto"/>
        <w:left w:val="none" w:sz="0" w:space="0" w:color="auto"/>
        <w:bottom w:val="none" w:sz="0" w:space="0" w:color="auto"/>
        <w:right w:val="none" w:sz="0" w:space="0" w:color="auto"/>
      </w:divBdr>
    </w:div>
    <w:div w:id="1662736583">
      <w:bodyDiv w:val="1"/>
      <w:marLeft w:val="0"/>
      <w:marRight w:val="0"/>
      <w:marTop w:val="0"/>
      <w:marBottom w:val="0"/>
      <w:divBdr>
        <w:top w:val="none" w:sz="0" w:space="0" w:color="auto"/>
        <w:left w:val="none" w:sz="0" w:space="0" w:color="auto"/>
        <w:bottom w:val="none" w:sz="0" w:space="0" w:color="auto"/>
        <w:right w:val="none" w:sz="0" w:space="0" w:color="auto"/>
      </w:divBdr>
    </w:div>
    <w:div w:id="1677263650">
      <w:bodyDiv w:val="1"/>
      <w:marLeft w:val="0"/>
      <w:marRight w:val="0"/>
      <w:marTop w:val="0"/>
      <w:marBottom w:val="0"/>
      <w:divBdr>
        <w:top w:val="none" w:sz="0" w:space="0" w:color="auto"/>
        <w:left w:val="none" w:sz="0" w:space="0" w:color="auto"/>
        <w:bottom w:val="none" w:sz="0" w:space="0" w:color="auto"/>
        <w:right w:val="none" w:sz="0" w:space="0" w:color="auto"/>
      </w:divBdr>
    </w:div>
    <w:div w:id="1901550342">
      <w:bodyDiv w:val="1"/>
      <w:marLeft w:val="0"/>
      <w:marRight w:val="0"/>
      <w:marTop w:val="0"/>
      <w:marBottom w:val="0"/>
      <w:divBdr>
        <w:top w:val="none" w:sz="0" w:space="0" w:color="auto"/>
        <w:left w:val="none" w:sz="0" w:space="0" w:color="auto"/>
        <w:bottom w:val="none" w:sz="0" w:space="0" w:color="auto"/>
        <w:right w:val="none" w:sz="0" w:space="0" w:color="auto"/>
      </w:divBdr>
    </w:div>
    <w:div w:id="20204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6B00-12DA-443C-BC18-253BA4C7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Hilal Yıldız</cp:lastModifiedBy>
  <cp:revision>6</cp:revision>
  <cp:lastPrinted>2018-09-27T14:45:00Z</cp:lastPrinted>
  <dcterms:created xsi:type="dcterms:W3CDTF">2018-10-23T18:43:00Z</dcterms:created>
  <dcterms:modified xsi:type="dcterms:W3CDTF">2018-10-24T09:50:00Z</dcterms:modified>
</cp:coreProperties>
</file>